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DBA87">
      <w:pPr>
        <w:spacing w:before="480" w:after="480" w:line="288" w:lineRule="auto"/>
        <w:ind w:left="0"/>
        <w:jc w:val="center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sz w:val="32"/>
          <w:szCs w:val="32"/>
        </w:rPr>
        <w:t>针灸科中医治疗设备申购需求书</w:t>
      </w:r>
      <w:bookmarkStart w:id="5" w:name="_GoBack"/>
      <w:bookmarkEnd w:id="5"/>
    </w:p>
    <w:p w14:paraId="215FEEB4">
      <w:pPr>
        <w:spacing w:before="120" w:after="120" w:line="288" w:lineRule="auto"/>
        <w:ind w:left="0" w:firstLine="220" w:firstLineChars="100"/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为进一步完善针灸科中医治疗设备配置，提升科室对颈肩腰腿痛、骨关节疾病、慢性炎症等病症的诊疗效果，弥补现有设备缺口，满足患者多样化中医治疗需求，同时规范治疗流程、提高治疗安全性与有效性，现申请采购一批专用中医治疗设备。具体申购明细、技术参数及相关要求如下</w:t>
      </w:r>
      <w:r>
        <w:rPr>
          <w:rFonts w:hint="eastAsia" w:asciiTheme="minorEastAsia" w:hAnsiTheme="minorEastAsia" w:eastAsiaTheme="minorEastAsia" w:cstheme="minorEastAsia"/>
          <w:sz w:val="22"/>
          <w:lang w:eastAsia="zh-CN"/>
        </w:rPr>
        <w:t>：</w:t>
      </w:r>
    </w:p>
    <w:p w14:paraId="25689089">
      <w:pPr>
        <w:spacing w:before="320" w:after="120" w:line="288" w:lineRule="auto"/>
        <w:ind w:left="0"/>
        <w:jc w:val="left"/>
        <w:outlineLvl w:val="1"/>
        <w:rPr>
          <w:rFonts w:hint="eastAsia" w:asciiTheme="minorEastAsia" w:hAnsiTheme="minorEastAsia" w:eastAsiaTheme="minorEastAsia" w:cstheme="minorEastAsia"/>
        </w:rPr>
      </w:pPr>
      <w:bookmarkStart w:id="0" w:name="heading_0"/>
      <w:r>
        <w:rPr>
          <w:rFonts w:hint="eastAsia" w:asciiTheme="minorEastAsia" w:hAnsiTheme="minorEastAsia" w:eastAsiaTheme="minorEastAsia" w:cstheme="minorEastAsia"/>
          <w:b/>
          <w:sz w:val="32"/>
        </w:rPr>
        <w:t>一、</w:t>
      </w:r>
      <w:r>
        <w:rPr>
          <w:rFonts w:hint="eastAsia" w:asciiTheme="minorEastAsia" w:hAnsiTheme="minorEastAsia" w:eastAsiaTheme="minorEastAsia" w:cstheme="minorEastAsia"/>
          <w:b/>
          <w:sz w:val="32"/>
          <w:lang w:val="en-US" w:eastAsia="zh-CN"/>
        </w:rPr>
        <w:t>设备</w:t>
      </w:r>
      <w:r>
        <w:rPr>
          <w:rFonts w:hint="eastAsia" w:asciiTheme="minorEastAsia" w:hAnsiTheme="minorEastAsia" w:eastAsiaTheme="minorEastAsia" w:cstheme="minorEastAsia"/>
          <w:b/>
          <w:sz w:val="32"/>
        </w:rPr>
        <w:t>明细及预算</w:t>
      </w:r>
      <w:bookmarkEnd w:id="0"/>
    </w:p>
    <w:tbl>
      <w:tblPr>
        <w:tblStyle w:val="2"/>
        <w:tblW w:w="8766" w:type="dxa"/>
        <w:jc w:val="center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56"/>
        <w:gridCol w:w="579"/>
        <w:gridCol w:w="579"/>
        <w:gridCol w:w="1346"/>
        <w:gridCol w:w="906"/>
        <w:gridCol w:w="1425"/>
        <w:gridCol w:w="2375"/>
      </w:tblGrid>
      <w:tr w14:paraId="3167E3C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tblHeader/>
          <w:jc w:val="center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E447E95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sz w:val="22"/>
              </w:rPr>
            </w:pPr>
            <w:r>
              <w:rPr>
                <w:rFonts w:hint="eastAsia" w:ascii="宋体" w:eastAsia="宋体" w:hAnsiTheme="minorEastAsia" w:cstheme="minorEastAsia"/>
                <w:b/>
                <w:sz w:val="22"/>
              </w:rPr>
              <w:t>设备/器械名称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C9ACE25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sz w:val="22"/>
              </w:rPr>
            </w:pPr>
            <w:r>
              <w:rPr>
                <w:rFonts w:hint="eastAsia" w:ascii="宋体" w:eastAsia="宋体" w:hAnsiTheme="minorEastAsia" w:cstheme="minorEastAsia"/>
                <w:b/>
                <w:sz w:val="22"/>
              </w:rPr>
              <w:t>数量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66472B6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sz w:val="22"/>
              </w:rPr>
            </w:pPr>
            <w:r>
              <w:rPr>
                <w:rFonts w:hint="eastAsia" w:ascii="宋体" w:eastAsia="宋体" w:hAnsiTheme="minorEastAsia" w:cstheme="minorEastAsia"/>
                <w:b/>
                <w:sz w:val="22"/>
              </w:rPr>
              <w:t>单位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9C0BE60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sz w:val="22"/>
              </w:rPr>
            </w:pPr>
            <w:r>
              <w:rPr>
                <w:rFonts w:hint="eastAsia" w:ascii="宋体" w:eastAsia="宋体" w:hAnsiTheme="minorEastAsia" w:cstheme="minorEastAsia"/>
                <w:b/>
                <w:sz w:val="22"/>
              </w:rPr>
              <w:t>单台/个预算</w:t>
            </w:r>
          </w:p>
          <w:p w14:paraId="1D144F4C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sz w:val="22"/>
              </w:rPr>
            </w:pPr>
            <w:r>
              <w:rPr>
                <w:rFonts w:hint="eastAsia" w:ascii="宋体" w:eastAsia="宋体" w:hAnsiTheme="minorEastAsia" w:cstheme="minorEastAsia"/>
                <w:b/>
                <w:sz w:val="22"/>
              </w:rPr>
              <w:t>（元）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63D626F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sz w:val="22"/>
              </w:rPr>
            </w:pPr>
            <w:r>
              <w:rPr>
                <w:rFonts w:hint="eastAsia" w:ascii="宋体" w:eastAsia="宋体" w:hAnsiTheme="minorEastAsia" w:cstheme="minorEastAsia"/>
                <w:b/>
                <w:sz w:val="22"/>
              </w:rPr>
              <w:t>总预算</w:t>
            </w:r>
          </w:p>
          <w:p w14:paraId="5C1209A3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sz w:val="22"/>
              </w:rPr>
            </w:pPr>
            <w:r>
              <w:rPr>
                <w:rFonts w:hint="eastAsia" w:ascii="宋体" w:eastAsia="宋体" w:hAnsiTheme="minorEastAsia" w:cstheme="minorEastAsia"/>
                <w:b/>
                <w:sz w:val="22"/>
              </w:rPr>
              <w:t>（元）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48C5015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sz w:val="22"/>
              </w:rPr>
            </w:pPr>
            <w:r>
              <w:rPr>
                <w:rFonts w:hint="eastAsia" w:ascii="宋体" w:eastAsia="宋体" w:hAnsiTheme="minorEastAsia" w:cstheme="minorEastAsia"/>
                <w:b/>
                <w:sz w:val="22"/>
              </w:rPr>
              <w:t>对应使用科室</w:t>
            </w: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6FEF4F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sz w:val="22"/>
              </w:rPr>
            </w:pPr>
            <w:r>
              <w:rPr>
                <w:rFonts w:hint="eastAsia" w:ascii="宋体" w:eastAsia="宋体" w:hAnsiTheme="minorEastAsia" w:cstheme="minorEastAsia"/>
                <w:b/>
                <w:sz w:val="22"/>
              </w:rPr>
              <w:t>用途概述</w:t>
            </w:r>
          </w:p>
        </w:tc>
      </w:tr>
      <w:tr w14:paraId="5C86E4D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55A17C8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Arial" w:hAnsi="Arial" w:eastAsia="等线" w:cs="Arial"/>
                <w:sz w:val="22"/>
              </w:rPr>
              <w:t>超短波治疗仪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3F053BA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1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6B83100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台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B7AF036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righ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</w:rPr>
              <w:t>40000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E04C459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righ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40000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22C9730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针灸科</w:t>
            </w: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7089D54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用于慢性炎症、软组织损伤等病症的超短波理疗，促进炎症消退、组织修复</w:t>
            </w:r>
          </w:p>
        </w:tc>
      </w:tr>
      <w:tr w14:paraId="77021A6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8948698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电脑中频治疗仪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F8F9E21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1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2BE8F4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sz w:val="22"/>
                <w:lang w:val="en-US" w:eastAsia="zh-CN"/>
              </w:rPr>
            </w:pPr>
            <w:r>
              <w:rPr>
                <w:rFonts w:hint="eastAsia" w:ascii="宋体" w:eastAsia="宋体" w:hAnsiTheme="minorEastAsia" w:cstheme="minorEastAsia"/>
                <w:sz w:val="22"/>
                <w:lang w:val="en-US" w:eastAsia="zh-CN"/>
              </w:rPr>
              <w:t>台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12CE340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righ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13800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A1B3ED5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righ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13800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7F59CE8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针灸科</w:t>
            </w: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88D06AD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通过中频电疗刺激肌肉、神经，缓解疼痛、改善血液循环，辅助治疗骨关节及软组织疾病</w:t>
            </w:r>
          </w:p>
        </w:tc>
      </w:tr>
      <w:tr w14:paraId="2A246FB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CBA4E92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牵引床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719CFEA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default" w:ascii="宋体" w:eastAsia="宋体" w:hAnsiTheme="minorEastAsia" w:cstheme="minorEastAsia"/>
                <w:sz w:val="22"/>
                <w:lang w:val="en-US" w:eastAsia="zh-CN"/>
              </w:rPr>
            </w:pPr>
            <w:r>
              <w:rPr>
                <w:rFonts w:hint="eastAsia" w:ascii="宋体" w:eastAsia="宋体" w:hAnsiTheme="minorEastAsia" w:cstheme="minorEastAsia"/>
                <w:sz w:val="22"/>
                <w:lang w:val="en-US" w:eastAsia="zh-CN"/>
              </w:rPr>
              <w:t>2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61A0A1A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sz w:val="22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sz w:val="22"/>
                <w:lang w:val="en-US" w:eastAsia="zh-CN"/>
              </w:rPr>
              <w:t>台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28FDDC0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righ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24000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8045F5B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righ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48000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5C6816F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针灸科</w:t>
            </w: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8521521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用于颈椎、腰椎疾病的牵引治疗，拉伸椎间隙、缓解椎间盘压力，改善关节功能</w:t>
            </w:r>
          </w:p>
        </w:tc>
      </w:tr>
      <w:tr w14:paraId="24B7055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4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32BB2BF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sz w:val="22"/>
              </w:rPr>
            </w:pPr>
            <w:r>
              <w:rPr>
                <w:rFonts w:hint="eastAsia" w:ascii="宋体" w:eastAsia="宋体" w:hAnsiTheme="minorEastAsia" w:cstheme="minorEastAsia"/>
                <w:b/>
                <w:sz w:val="22"/>
              </w:rPr>
              <w:t>合计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A1896CD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right"/>
              <w:rPr>
                <w:rFonts w:hint="default" w:ascii="宋体" w:eastAsia="宋体" w:hAnsiTheme="minorEastAsia" w:cstheme="minorEastAsia"/>
                <w:b/>
                <w:sz w:val="22"/>
                <w:lang w:val="en-US"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sz w:val="22"/>
                <w:lang w:val="en-US" w:eastAsia="zh-CN"/>
              </w:rPr>
              <w:t>101800</w:t>
            </w:r>
          </w:p>
        </w:tc>
        <w:tc>
          <w:tcPr>
            <w:tcW w:w="3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476D8D2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sz w:val="22"/>
              </w:rPr>
            </w:pPr>
            <w:r>
              <w:rPr>
                <w:rFonts w:hint="eastAsia" w:ascii="宋体" w:eastAsia="宋体" w:hAnsiTheme="minorEastAsia" w:cstheme="minorEastAsia"/>
                <w:b/>
                <w:sz w:val="22"/>
              </w:rPr>
              <w:t>-</w:t>
            </w:r>
          </w:p>
        </w:tc>
      </w:tr>
    </w:tbl>
    <w:p w14:paraId="2CF7E188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本次申购总预算：人民币 101800 元（大写：壹拾万壹仟捌佰元整）</w:t>
      </w:r>
      <w:r>
        <w:rPr>
          <w:rFonts w:hint="eastAsia" w:asciiTheme="minorEastAsia" w:hAnsiTheme="minorEastAsia" w:eastAsiaTheme="minorEastAsia" w:cstheme="minorEastAsia"/>
          <w:sz w:val="22"/>
          <w:lang w:eastAsia="zh-CN"/>
        </w:rPr>
        <w:t>。</w:t>
      </w:r>
    </w:p>
    <w:p w14:paraId="4E77020C">
      <w:pPr>
        <w:spacing w:before="320" w:after="120" w:line="288" w:lineRule="auto"/>
        <w:ind w:left="0"/>
        <w:jc w:val="left"/>
        <w:outlineLvl w:val="1"/>
        <w:rPr>
          <w:rFonts w:hint="eastAsia" w:asciiTheme="minorEastAsia" w:hAnsiTheme="minorEastAsia" w:eastAsiaTheme="minorEastAsia" w:cstheme="minorEastAsia"/>
        </w:rPr>
      </w:pPr>
      <w:bookmarkStart w:id="1" w:name="heading_1"/>
      <w:r>
        <w:rPr>
          <w:rFonts w:hint="eastAsia" w:asciiTheme="minorEastAsia" w:hAnsiTheme="minorEastAsia" w:eastAsiaTheme="minorEastAsia" w:cstheme="minorEastAsia"/>
          <w:b/>
          <w:sz w:val="32"/>
        </w:rPr>
        <w:t>二、技术参数及质量要求</w:t>
      </w:r>
      <w:bookmarkEnd w:id="1"/>
    </w:p>
    <w:p w14:paraId="43BB82D9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b/>
          <w:sz w:val="30"/>
        </w:rPr>
      </w:pPr>
      <w:bookmarkStart w:id="2" w:name="heading_2"/>
      <w:r>
        <w:rPr>
          <w:rFonts w:hint="eastAsia" w:asciiTheme="minorEastAsia" w:hAnsiTheme="minorEastAsia" w:eastAsiaTheme="minorEastAsia" w:cstheme="minorEastAsia"/>
          <w:b/>
          <w:sz w:val="30"/>
        </w:rPr>
        <w:t>（一）</w:t>
      </w:r>
      <w:bookmarkEnd w:id="2"/>
      <w:bookmarkStart w:id="3" w:name="heading_3"/>
      <w:r>
        <w:rPr>
          <w:rFonts w:hint="eastAsia" w:asciiTheme="minorEastAsia" w:hAnsiTheme="minorEastAsia" w:eastAsiaTheme="minorEastAsia" w:cstheme="minorEastAsia"/>
          <w:b/>
          <w:sz w:val="30"/>
        </w:rPr>
        <w:t>超短波治疗仪</w:t>
      </w:r>
    </w:p>
    <w:p w14:paraId="60AC2156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 适用于各级医疗机构的康复医学科、理疗科、骨科、外科等临床科室，可针对急慢性软组织炎症、疼痛性疾病、关节病变、术后组织修复等病症开展物理治疗，通过非侵入性方式改善局部血液循环、缓解炎症反应、减轻疼痛症状，助力患者功能恢复与康复进程。</w:t>
      </w:r>
    </w:p>
    <w:p w14:paraId="0C59B906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2 采用柜式一体推车结构，配备锁止万向轮，可灵活在科室内部移动并稳定固定</w:t>
      </w:r>
      <w:r>
        <w:rPr>
          <w:rFonts w:hint="eastAsia" w:asciiTheme="minorEastAsia" w:hAnsiTheme="minorEastAsia" w:cstheme="minorEastAsia"/>
          <w:spacing w:val="0"/>
          <w:sz w:val="21"/>
          <w:lang w:eastAsia="zh-CN"/>
        </w:rPr>
        <w:t>。</w:t>
      </w:r>
    </w:p>
    <w:p w14:paraId="38CA39E1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3 搭载全触摸屏操作界面，交互逻辑直观，参数设置简便快捷，有效提升临床操作效率。</w:t>
      </w:r>
    </w:p>
    <w:p w14:paraId="38553EE1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4 支持连续、断续、脉冲三种输出模式，适配不同病症类型及治疗阶段需求；</w:t>
      </w:r>
    </w:p>
    <w:p w14:paraId="386A3CA4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5 断续模式可调节脉冲频率，脉冲模式支持脉冲宽度与频率的精细调整，自行可调治疗时间，满足个性化治疗方案制定。</w:t>
      </w:r>
    </w:p>
    <w:p w14:paraId="78A1BF05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6 配备柔软导电材质的电极板，多规格配置，可贴合人体不同部位（如关节、躯干、四肢等），兼顾治疗舒适性与贴合度。</w:t>
      </w:r>
    </w:p>
    <w:p w14:paraId="53F93488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7 输出功率稳定，长时间连续工作状态下性能保持一致</w:t>
      </w:r>
      <w:r>
        <w:rPr>
          <w:rFonts w:hint="eastAsia" w:asciiTheme="minorEastAsia" w:hAnsiTheme="minorEastAsia" w:cstheme="minorEastAsia"/>
          <w:spacing w:val="0"/>
          <w:sz w:val="21"/>
          <w:lang w:eastAsia="zh-CN"/>
        </w:rPr>
        <w:t>。</w:t>
      </w:r>
    </w:p>
    <w:p w14:paraId="617B8F33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8 设有清晰的功率指示装置，便于医护人员实时监控治疗强度</w:t>
      </w:r>
      <w:r>
        <w:rPr>
          <w:rFonts w:hint="eastAsia" w:asciiTheme="minorEastAsia" w:hAnsiTheme="minorEastAsia" w:cstheme="minorEastAsia"/>
          <w:spacing w:val="0"/>
          <w:sz w:val="21"/>
          <w:lang w:eastAsia="zh-CN"/>
        </w:rPr>
        <w:t>。</w:t>
      </w:r>
    </w:p>
    <w:p w14:paraId="0AE48BC5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9 具备自动预热功能，开机后快速进入治疗就绪状态，减少等待时间。</w:t>
      </w:r>
    </w:p>
    <w:p w14:paraId="26713A4E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10 可无缝融入康复医学科、理疗科等科室日常诊疗流程，支持多科室共享使用，满足不同临床场景的治疗需求</w:t>
      </w:r>
      <w:r>
        <w:rPr>
          <w:rFonts w:hint="eastAsia" w:asciiTheme="minorEastAsia" w:hAnsiTheme="minorEastAsia" w:cstheme="minorEastAsia"/>
          <w:spacing w:val="0"/>
          <w:sz w:val="21"/>
          <w:lang w:eastAsia="zh-CN"/>
        </w:rPr>
        <w:t>。</w:t>
      </w:r>
    </w:p>
    <w:p w14:paraId="215C8E69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11 IS013485质量管理体系认证。</w:t>
      </w:r>
    </w:p>
    <w:p w14:paraId="1C2FEE99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12 整机质保不少于2年</w:t>
      </w:r>
      <w:r>
        <w:rPr>
          <w:rFonts w:hint="eastAsia" w:asciiTheme="minorEastAsia" w:hAnsiTheme="minorEastAsia" w:cstheme="minorEastAsia"/>
          <w:spacing w:val="0"/>
          <w:sz w:val="21"/>
          <w:lang w:eastAsia="zh-CN"/>
        </w:rPr>
        <w:t>。</w:t>
      </w:r>
    </w:p>
    <w:p w14:paraId="7DE3B03A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13 提供装机现场培训（操作+维护）</w:t>
      </w:r>
      <w:r>
        <w:rPr>
          <w:rFonts w:hint="eastAsia" w:asciiTheme="minorEastAsia" w:hAnsiTheme="minorEastAsia" w:cstheme="minorEastAsia"/>
          <w:spacing w:val="0"/>
          <w:sz w:val="21"/>
          <w:lang w:eastAsia="zh-CN"/>
        </w:rPr>
        <w:t>。</w:t>
      </w:r>
    </w:p>
    <w:p w14:paraId="22F90F8C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14 生产日期距合同签订时间≤3个月</w:t>
      </w:r>
      <w:r>
        <w:rPr>
          <w:rFonts w:hint="eastAsia" w:asciiTheme="minorEastAsia" w:hAnsiTheme="minorEastAsia" w:cstheme="minorEastAsia"/>
          <w:spacing w:val="0"/>
          <w:sz w:val="21"/>
          <w:lang w:eastAsia="zh-CN"/>
        </w:rPr>
        <w:t>。</w:t>
      </w:r>
    </w:p>
    <w:p w14:paraId="6FE10C59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15 使用年限≥5年，需提供原厂承诺或机身铭牌照片证明，避免短期淘汰风险，降低长期成本。</w:t>
      </w:r>
    </w:p>
    <w:p w14:paraId="248364C3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16 售后服务：1小时内电话响应，5小时内现场维修（需提供原厂质保承诺）</w:t>
      </w:r>
      <w:r>
        <w:rPr>
          <w:rFonts w:hint="eastAsia" w:asciiTheme="minorEastAsia" w:hAnsiTheme="minorEastAsia" w:cstheme="minorEastAsia"/>
          <w:spacing w:val="0"/>
          <w:sz w:val="21"/>
          <w:lang w:eastAsia="zh-CN"/>
        </w:rPr>
        <w:t>。</w:t>
      </w:r>
    </w:p>
    <w:p w14:paraId="6311C9B0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b/>
          <w:sz w:val="30"/>
        </w:rPr>
      </w:pPr>
      <w:r>
        <w:rPr>
          <w:rFonts w:hint="eastAsia" w:asciiTheme="minorEastAsia" w:hAnsiTheme="minorEastAsia" w:eastAsiaTheme="minorEastAsia" w:cstheme="minorEastAsia"/>
          <w:b/>
          <w:sz w:val="30"/>
        </w:rPr>
        <w:t>（二）</w:t>
      </w:r>
      <w:bookmarkEnd w:id="3"/>
      <w:r>
        <w:rPr>
          <w:rFonts w:hint="eastAsia" w:asciiTheme="minorEastAsia" w:hAnsiTheme="minorEastAsia" w:eastAsiaTheme="minorEastAsia" w:cstheme="minorEastAsia"/>
          <w:b/>
          <w:sz w:val="30"/>
        </w:rPr>
        <w:t>电脑中频治疗仪</w:t>
      </w:r>
    </w:p>
    <w:p w14:paraId="75A82364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</w:rPr>
      </w:pPr>
      <w:bookmarkStart w:id="4" w:name="heading_4"/>
      <w:r>
        <w:rPr>
          <w:rFonts w:hint="eastAsia" w:asciiTheme="minorEastAsia" w:hAnsiTheme="minorEastAsia" w:eastAsiaTheme="minorEastAsia" w:cstheme="minorEastAsia"/>
          <w:spacing w:val="0"/>
          <w:sz w:val="21"/>
        </w:rPr>
        <w:t>1 适用于针对急慢性疼痛、神经肌肉功能障碍、软组织损伤、术后康复等病症开展物理治疗。通过中频电刺激技术改善局部血液循环、缓解肌肉痉挛、促进神经功能恢复，助力患者减轻症状、加速功能康复进程。</w:t>
      </w:r>
    </w:p>
    <w:p w14:paraId="0AA3378B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2 采用台式配置推车结构；增强移动灵活性，适配不同诊疗场景需求。</w:t>
      </w:r>
    </w:p>
    <w:p w14:paraId="6418E5EC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</w:rPr>
      </w:pPr>
    </w:p>
    <w:p w14:paraId="2B3D0E7E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3 双通道4路电极输出，可同时对患者多个治疗部位治疗需求，优化诊疗流程。</w:t>
      </w:r>
    </w:p>
    <w:p w14:paraId="092F16EE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4 提供多种调制波形及组合模式，适配不同病症类型、治疗阶段及患者个体差异，支持个性化治疗方案制定。</w:t>
      </w:r>
    </w:p>
    <w:p w14:paraId="79A1E942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5 具备可控热疗功能，可根据治疗需求调节温度，最大发热温度应≤60℃，提高治疗效果与患者安全性与舒适性。</w:t>
      </w:r>
    </w:p>
    <w:p w14:paraId="7551B017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6 内置多种预设治疗处方，覆盖常见病症类型，便于医护人员快速选择适配方案；支持治疗时间设定，满足不同疗程的个性化需求。</w:t>
      </w:r>
    </w:p>
    <w:p w14:paraId="2044AFA5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7 具备电源中断、治疗结束等场景下的安全提示与输出切断功能，有效规避治疗风险</w:t>
      </w:r>
      <w:r>
        <w:rPr>
          <w:rFonts w:hint="eastAsia" w:asciiTheme="minorEastAsia" w:hAnsiTheme="minorEastAsia" w:cstheme="minorEastAsia"/>
          <w:spacing w:val="0"/>
          <w:sz w:val="21"/>
          <w:lang w:eastAsia="zh-CN"/>
        </w:rPr>
        <w:t>。</w:t>
      </w:r>
    </w:p>
    <w:p w14:paraId="7DB892E4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8 支持长时间稳定连续工作，适应科室高负荷使用需求；输出参数保持稳定一致，确保治疗效果的可靠性与重复性。</w:t>
      </w:r>
    </w:p>
    <w:p w14:paraId="1ADB711A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9 IS013485质量管理体系认证。</w:t>
      </w:r>
    </w:p>
    <w:p w14:paraId="2267C8FD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10 整机质保不少于2年</w:t>
      </w:r>
      <w:r>
        <w:rPr>
          <w:rFonts w:hint="eastAsia" w:asciiTheme="minorEastAsia" w:hAnsiTheme="minorEastAsia" w:cstheme="minorEastAsia"/>
          <w:spacing w:val="0"/>
          <w:sz w:val="21"/>
          <w:lang w:eastAsia="zh-CN"/>
        </w:rPr>
        <w:t>。</w:t>
      </w:r>
    </w:p>
    <w:p w14:paraId="1F7F04D7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11 提供装机现场培训（操作+维护）</w:t>
      </w:r>
      <w:r>
        <w:rPr>
          <w:rFonts w:hint="eastAsia" w:asciiTheme="minorEastAsia" w:hAnsiTheme="minorEastAsia" w:cstheme="minorEastAsia"/>
          <w:spacing w:val="0"/>
          <w:sz w:val="21"/>
          <w:lang w:eastAsia="zh-CN"/>
        </w:rPr>
        <w:t>。</w:t>
      </w:r>
    </w:p>
    <w:p w14:paraId="169E3948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12 生产日期距合同签订时间≤3个月</w:t>
      </w:r>
      <w:r>
        <w:rPr>
          <w:rFonts w:hint="eastAsia" w:asciiTheme="minorEastAsia" w:hAnsiTheme="minorEastAsia" w:cstheme="minorEastAsia"/>
          <w:spacing w:val="0"/>
          <w:sz w:val="21"/>
          <w:lang w:eastAsia="zh-CN"/>
        </w:rPr>
        <w:t>。</w:t>
      </w:r>
    </w:p>
    <w:p w14:paraId="51112AF1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13 使用年限≥8年，需提供原厂承诺或机身铭牌照片证明，避免短期淘汰风险，降低长期成本。</w:t>
      </w:r>
    </w:p>
    <w:p w14:paraId="7012FD43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spacing w:val="0"/>
          <w:sz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14 售后服务：1小时内电话响应，5小时内现场维修（需提供原厂质保承诺）</w:t>
      </w:r>
      <w:r>
        <w:rPr>
          <w:rFonts w:hint="eastAsia" w:asciiTheme="minorEastAsia" w:hAnsiTheme="minorEastAsia" w:cstheme="minorEastAsia"/>
          <w:spacing w:val="0"/>
          <w:sz w:val="21"/>
          <w:lang w:eastAsia="zh-CN"/>
        </w:rPr>
        <w:t>。</w:t>
      </w:r>
    </w:p>
    <w:p w14:paraId="58038F81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b/>
          <w:sz w:val="30"/>
        </w:rPr>
      </w:pPr>
      <w:r>
        <w:rPr>
          <w:rFonts w:hint="eastAsia" w:asciiTheme="minorEastAsia" w:hAnsiTheme="minorEastAsia" w:eastAsiaTheme="minorEastAsia" w:cstheme="minorEastAsia"/>
          <w:b/>
          <w:sz w:val="30"/>
        </w:rPr>
        <w:t>（三）</w:t>
      </w:r>
      <w:bookmarkEnd w:id="4"/>
      <w:r>
        <w:rPr>
          <w:rFonts w:hint="eastAsia" w:asciiTheme="minorEastAsia" w:hAnsiTheme="minorEastAsia" w:eastAsiaTheme="minorEastAsia" w:cstheme="minorEastAsia"/>
          <w:b/>
          <w:sz w:val="30"/>
        </w:rPr>
        <w:t>牵引床</w:t>
      </w:r>
    </w:p>
    <w:p w14:paraId="5B6A4E9E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 本设备适用于颈腰椎退行性病变、椎间盘突出症、颈肩腰腿痛等病症开展科学牵引治疗。通过非侵入性的牵引方式缓解神经压迫、改善脊柱力学平衡、促进局部血液循环，助力患者减轻疼痛症状与功能障碍，加速康复进程。</w:t>
      </w:r>
    </w:p>
    <w:p w14:paraId="6A0B34C2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2 支持颈椎与腰椎分别或联合牵引，兼顾不同部位治疗需求，适配多场景临床应用。</w:t>
      </w:r>
    </w:p>
    <w:p w14:paraId="03FEF035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3 提供多种牵引模式（含间歇、持续、阶梯式等类型），适配不同病症阶段、患者个体耐受度与治疗目标，支持个性化治疗方案制定。</w:t>
      </w:r>
    </w:p>
    <w:p w14:paraId="6F5D6569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4 内置预设多种治疗方案，可快速调取使用，提升临床操作效率与信息化水平。</w:t>
      </w:r>
    </w:p>
    <w:p w14:paraId="32A3430A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5 上身床面采用气动升降设计，可实现成角牵引功能，适配不同体型患者与治疗体位需求，增强牵引贴合度与治疗效果。</w:t>
      </w:r>
    </w:p>
    <w:p w14:paraId="533DB3E7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pacing w:val="0"/>
          <w:sz w:val="21"/>
        </w:rPr>
      </w:pPr>
    </w:p>
    <w:p w14:paraId="0B3B93E3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pacing w:val="0"/>
          <w:sz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6 配备患者应急及医务人员急退按键，确保治疗过程安全可控</w:t>
      </w:r>
      <w:r>
        <w:rPr>
          <w:rFonts w:hint="eastAsia" w:asciiTheme="minorEastAsia" w:hAnsiTheme="minorEastAsia" w:cstheme="minorEastAsia"/>
          <w:spacing w:val="0"/>
          <w:sz w:val="21"/>
          <w:lang w:eastAsia="zh-CN"/>
        </w:rPr>
        <w:t>。</w:t>
      </w:r>
    </w:p>
    <w:p w14:paraId="30488F3E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7 牵引力量具备自动补偿功能，维持牵引效果稳定一致；牵引带采用优质捆绑方式，操作简便且贴合度高。</w:t>
      </w:r>
    </w:p>
    <w:p w14:paraId="61E817C6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8 床面具备可控温热功能，温控温度在37℃左右，提高治疗效果与患者舒适性。</w:t>
      </w:r>
    </w:p>
    <w:p w14:paraId="392149AB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9 操作界面清晰动态显示牵引力及时间等数值，设定值与运行值需同步呈现，便于医护人员实时监控，确保安全性。</w:t>
      </w:r>
    </w:p>
    <w:p w14:paraId="5F376F39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10 支持长时间连续稳定工作，适应科室高负荷使用需求；输出参数精准可控，保障治疗效果可靠性与重复性。</w:t>
      </w:r>
    </w:p>
    <w:p w14:paraId="35A0C340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11 IS013485质量管理体系认证。</w:t>
      </w:r>
    </w:p>
    <w:p w14:paraId="791A2673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12 整机质保不少于2年</w:t>
      </w:r>
    </w:p>
    <w:p w14:paraId="5D205375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13 提供装机现场培训（操作+维护）</w:t>
      </w:r>
    </w:p>
    <w:p w14:paraId="75C7EA86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14 生产日期距合同签订时间≤3个月</w:t>
      </w:r>
    </w:p>
    <w:p w14:paraId="3781B855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pacing w:val="0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15 使用年限≥8年，需提供原厂承诺或机身铭牌照片证明，避免短期淘汰风险，降低长期成本。</w:t>
      </w:r>
    </w:p>
    <w:p w14:paraId="2C6BC1DE">
      <w:pPr>
        <w:spacing w:before="120" w:after="120" w:line="288" w:lineRule="auto"/>
        <w:ind w:left="0"/>
        <w:jc w:val="left"/>
        <w:rPr>
          <w:rFonts w:hint="eastAsia" w:eastAsia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16 售后服务：1小时内电话响应，5小时内现场维修（需提供原厂质保承诺）</w:t>
      </w:r>
      <w:r>
        <w:rPr>
          <w:rFonts w:hint="eastAsia" w:asciiTheme="minorEastAsia" w:hAnsiTheme="minorEastAsia" w:cstheme="minorEastAsia"/>
          <w:spacing w:val="0"/>
          <w:sz w:val="21"/>
          <w:lang w:eastAsia="zh-CN"/>
        </w:rPr>
        <w:t>。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0C242E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21BB0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075424"/>
    <w:rsid w:val="2E1E753B"/>
    <w:rsid w:val="38B356FA"/>
    <w:rsid w:val="4D5A1A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2155</Words>
  <Characters>2231</Characters>
  <TotalTime>1447</TotalTime>
  <ScaleCrop>false</ScaleCrop>
  <LinksUpToDate>false</LinksUpToDate>
  <CharactersWithSpaces>2279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2026-01-13T01:34:00Z</dcterms:created>
  <dc:creator>Apache POI</dc:creator>
  <cp:lastModifiedBy>日月</cp:lastModifiedBy>
  <cp:lastPrinted>2026-01-14T07:42:00Z</cp:lastPrinted>
  <dcterms:modified xsi:type="dcterms:W3CDTF">2026-01-14T08:26:11Z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eyJoZGlkIjoiNTQ5Y2NiNTVmMjVkYTkzYTQ0NTI3MTc4NTc0OGYxZDUiLCJ1c2VySWQiOiIyNjQxNjk1NTMifQ==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B65F9172F6374E4A8AE185ED3C0B89A4_13</vt:lpwstr>
  </property>
</Properties>
</file>