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F58AD">
      <w:pPr>
        <w:bidi w:val="0"/>
        <w:jc w:val="center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阳春市中医院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医疗收费电子票据管理系统运维服务项目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需求书</w:t>
      </w:r>
    </w:p>
    <w:p w14:paraId="0D209D44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项目概况</w:t>
      </w:r>
    </w:p>
    <w:p w14:paraId="629512C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项目名称：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阳春市中医院医疗收费电子票据管理系统运维服务项目</w:t>
      </w:r>
    </w:p>
    <w:bookmarkEnd w:id="0"/>
    <w:p w14:paraId="32A7E6EE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服务期限：3年</w:t>
      </w:r>
    </w:p>
    <w:p w14:paraId="52311A9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项目预算：7.92万元（2.64万元/年）</w:t>
      </w:r>
    </w:p>
    <w:p w14:paraId="0DE998F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4.报价要求：报价文件需包含市场价及优惠价。</w:t>
      </w:r>
    </w:p>
    <w:p w14:paraId="3FAC23D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二、服务内容</w:t>
      </w:r>
    </w:p>
    <w:p w14:paraId="3B7DC94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服务期内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乙方为甲方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提供基本维护服务，包括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但不限于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定期巡检、故障处理远程维护及甲方咨询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服务，协助甲方处理系统相关事务，解决系统故障，保证系统运行正常。</w:t>
      </w:r>
    </w:p>
    <w:p w14:paraId="774BF7E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系统运行环境检查</w:t>
      </w:r>
    </w:p>
    <w:p w14:paraId="3A832F9E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乙方每季度对系统的运行环境进行检查，及时向甲方提出调优和故障预防建议。检查内容包括但不限于以下：</w:t>
      </w:r>
    </w:p>
    <w:tbl>
      <w:tblPr>
        <w:tblStyle w:val="8"/>
        <w:tblW w:w="0" w:type="auto"/>
        <w:tblInd w:w="1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5688"/>
        <w:gridCol w:w="1842"/>
      </w:tblGrid>
      <w:tr w14:paraId="2922E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</w:tcPr>
          <w:p w14:paraId="6BDD15C1">
            <w:pPr>
              <w:pStyle w:val="4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5688" w:type="dxa"/>
          </w:tcPr>
          <w:p w14:paraId="54473437">
            <w:pPr>
              <w:pStyle w:val="4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1842" w:type="dxa"/>
          </w:tcPr>
          <w:p w14:paraId="42EB914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服务标准</w:t>
            </w:r>
          </w:p>
        </w:tc>
      </w:tr>
      <w:tr w14:paraId="0CF81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Align w:val="center"/>
          </w:tcPr>
          <w:p w14:paraId="228141B4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88" w:type="dxa"/>
            <w:vAlign w:val="center"/>
          </w:tcPr>
          <w:p w14:paraId="56BF6DF3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检查系统是否能够正常登陆和显示</w:t>
            </w:r>
          </w:p>
        </w:tc>
        <w:tc>
          <w:tcPr>
            <w:tcW w:w="1842" w:type="dxa"/>
            <w:vAlign w:val="center"/>
          </w:tcPr>
          <w:p w14:paraId="207E1F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4572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Align w:val="center"/>
          </w:tcPr>
          <w:p w14:paraId="1B4FC21B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88" w:type="dxa"/>
            <w:vAlign w:val="center"/>
          </w:tcPr>
          <w:p w14:paraId="33D0A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检查系统页面各功能操作是否顺畅</w:t>
            </w:r>
          </w:p>
        </w:tc>
        <w:tc>
          <w:tcPr>
            <w:tcW w:w="1842" w:type="dxa"/>
            <w:vAlign w:val="center"/>
          </w:tcPr>
          <w:p w14:paraId="72357CB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08008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Align w:val="center"/>
          </w:tcPr>
          <w:p w14:paraId="77C2173D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688" w:type="dxa"/>
            <w:vAlign w:val="center"/>
          </w:tcPr>
          <w:p w14:paraId="7ED9C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检查系统后台是否正常</w:t>
            </w:r>
          </w:p>
        </w:tc>
        <w:tc>
          <w:tcPr>
            <w:tcW w:w="1842" w:type="dxa"/>
            <w:vAlign w:val="center"/>
          </w:tcPr>
          <w:p w14:paraId="711650F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79932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Align w:val="center"/>
          </w:tcPr>
          <w:p w14:paraId="776FC8D9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88" w:type="dxa"/>
            <w:vAlign w:val="center"/>
          </w:tcPr>
          <w:p w14:paraId="6ACCD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检查系统接口是否正常</w:t>
            </w:r>
          </w:p>
        </w:tc>
        <w:tc>
          <w:tcPr>
            <w:tcW w:w="1842" w:type="dxa"/>
            <w:vAlign w:val="center"/>
          </w:tcPr>
          <w:p w14:paraId="3F2E730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00B91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Align w:val="center"/>
          </w:tcPr>
          <w:p w14:paraId="1D5CE0CD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688" w:type="dxa"/>
            <w:vAlign w:val="center"/>
          </w:tcPr>
          <w:p w14:paraId="4BD735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检查数据库电子票据系统用户表空间是否足够（使用率均少于 90%）</w:t>
            </w:r>
          </w:p>
        </w:tc>
        <w:tc>
          <w:tcPr>
            <w:tcW w:w="1842" w:type="dxa"/>
            <w:vAlign w:val="center"/>
          </w:tcPr>
          <w:p w14:paraId="0FFCDB1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4A628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Align w:val="center"/>
          </w:tcPr>
          <w:p w14:paraId="051C68F4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688" w:type="dxa"/>
            <w:vAlign w:val="center"/>
          </w:tcPr>
          <w:p w14:paraId="67510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检查数据库系统表空间是否足够（使用率均少于 90%）</w:t>
            </w:r>
          </w:p>
        </w:tc>
        <w:tc>
          <w:tcPr>
            <w:tcW w:w="1842" w:type="dxa"/>
            <w:vAlign w:val="center"/>
          </w:tcPr>
          <w:p w14:paraId="7AA1327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0F716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Align w:val="center"/>
          </w:tcPr>
          <w:p w14:paraId="0B22987D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688" w:type="dxa"/>
            <w:vAlign w:val="center"/>
          </w:tcPr>
          <w:p w14:paraId="25B1A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检查数据空间是否足够</w:t>
            </w:r>
          </w:p>
        </w:tc>
        <w:tc>
          <w:tcPr>
            <w:tcW w:w="1842" w:type="dxa"/>
            <w:vAlign w:val="center"/>
          </w:tcPr>
          <w:p w14:paraId="76440F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1256E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Align w:val="center"/>
          </w:tcPr>
          <w:p w14:paraId="632ECA09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688" w:type="dxa"/>
            <w:vAlign w:val="center"/>
          </w:tcPr>
          <w:p w14:paraId="21E01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检查服务器硬盘空间是否足够（使用率要少于 90%）</w:t>
            </w:r>
          </w:p>
        </w:tc>
        <w:tc>
          <w:tcPr>
            <w:tcW w:w="1842" w:type="dxa"/>
            <w:vAlign w:val="center"/>
          </w:tcPr>
          <w:p w14:paraId="25609D4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25FA5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Align w:val="center"/>
          </w:tcPr>
          <w:p w14:paraId="1F06426B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688" w:type="dxa"/>
            <w:vAlign w:val="center"/>
          </w:tcPr>
          <w:p w14:paraId="50D8B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检查系统日志是否正常</w:t>
            </w:r>
          </w:p>
        </w:tc>
        <w:tc>
          <w:tcPr>
            <w:tcW w:w="1842" w:type="dxa"/>
            <w:vAlign w:val="center"/>
          </w:tcPr>
          <w:p w14:paraId="014404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47F79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Align w:val="center"/>
          </w:tcPr>
          <w:p w14:paraId="4E95AAC6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688" w:type="dxa"/>
            <w:vAlign w:val="center"/>
          </w:tcPr>
          <w:p w14:paraId="4BDE03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根据巡检结果，提出改进建议</w:t>
            </w:r>
          </w:p>
        </w:tc>
        <w:tc>
          <w:tcPr>
            <w:tcW w:w="1842" w:type="dxa"/>
            <w:vAlign w:val="center"/>
          </w:tcPr>
          <w:p w14:paraId="7B7DEC5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</w:tbl>
    <w:p w14:paraId="125861B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  <w:t>二、系统业务功能检查</w:t>
      </w:r>
    </w:p>
    <w:p w14:paraId="4F5CB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乙方需要保证甲方所属业务能正常开展，需要对系统业务功能进行全面检查。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检查内容包括但不限于以下：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5262"/>
        <w:gridCol w:w="2155"/>
      </w:tblGrid>
      <w:tr w14:paraId="05A6E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</w:tcPr>
          <w:p w14:paraId="129CEEDC">
            <w:pPr>
              <w:pStyle w:val="4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5262" w:type="dxa"/>
          </w:tcPr>
          <w:p w14:paraId="020C42A9">
            <w:pPr>
              <w:pStyle w:val="4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2155" w:type="dxa"/>
          </w:tcPr>
          <w:p w14:paraId="64ED22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服务标准</w:t>
            </w:r>
          </w:p>
        </w:tc>
      </w:tr>
      <w:tr w14:paraId="0AC04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</w:tcPr>
          <w:p w14:paraId="4BCDEFEC">
            <w:pPr>
              <w:pStyle w:val="4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62" w:type="dxa"/>
          </w:tcPr>
          <w:p w14:paraId="0BB9F44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检查系统基础信息管理功能是否正常</w:t>
            </w:r>
          </w:p>
        </w:tc>
        <w:tc>
          <w:tcPr>
            <w:tcW w:w="2155" w:type="dxa"/>
          </w:tcPr>
          <w:p w14:paraId="09EC97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33246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</w:tcPr>
          <w:p w14:paraId="5FA4A36B">
            <w:pPr>
              <w:pStyle w:val="4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262" w:type="dxa"/>
          </w:tcPr>
          <w:p w14:paraId="3B1BDD3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检查系统医疗票据管理功能是否正常</w:t>
            </w:r>
          </w:p>
        </w:tc>
        <w:tc>
          <w:tcPr>
            <w:tcW w:w="2155" w:type="dxa"/>
          </w:tcPr>
          <w:p w14:paraId="1CED950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7DEA5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</w:tcPr>
          <w:p w14:paraId="10AAC4F4">
            <w:pPr>
              <w:pStyle w:val="4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262" w:type="dxa"/>
            <w:vAlign w:val="top"/>
          </w:tcPr>
          <w:p w14:paraId="1E0FDBF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检查系统医疗票据开具功能是否正常</w:t>
            </w:r>
          </w:p>
        </w:tc>
        <w:tc>
          <w:tcPr>
            <w:tcW w:w="2155" w:type="dxa"/>
          </w:tcPr>
          <w:p w14:paraId="301BB32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5469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</w:tcPr>
          <w:p w14:paraId="71194716">
            <w:pPr>
              <w:pStyle w:val="4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262" w:type="dxa"/>
          </w:tcPr>
          <w:p w14:paraId="33015F8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检查系统医疗票据存档功能是否正常</w:t>
            </w:r>
          </w:p>
        </w:tc>
        <w:tc>
          <w:tcPr>
            <w:tcW w:w="2155" w:type="dxa"/>
          </w:tcPr>
          <w:p w14:paraId="4C535C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556DF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</w:tcPr>
          <w:p w14:paraId="63D91FCD">
            <w:pPr>
              <w:pStyle w:val="4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262" w:type="dxa"/>
          </w:tcPr>
          <w:p w14:paraId="1008F36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检查系统医疗票据交付功能是否正常</w:t>
            </w:r>
          </w:p>
        </w:tc>
        <w:tc>
          <w:tcPr>
            <w:tcW w:w="2155" w:type="dxa"/>
          </w:tcPr>
          <w:p w14:paraId="0BA712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37A53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</w:tcPr>
          <w:p w14:paraId="40967CD6">
            <w:pPr>
              <w:pStyle w:val="4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262" w:type="dxa"/>
          </w:tcPr>
          <w:p w14:paraId="14D0E91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检查系统综合报表查询功能是否正常</w:t>
            </w:r>
          </w:p>
        </w:tc>
        <w:tc>
          <w:tcPr>
            <w:tcW w:w="2155" w:type="dxa"/>
          </w:tcPr>
          <w:p w14:paraId="7037467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  <w:tr w14:paraId="55E2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</w:tcPr>
          <w:p w14:paraId="526A2DE1">
            <w:pPr>
              <w:pStyle w:val="4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262" w:type="dxa"/>
          </w:tcPr>
          <w:p w14:paraId="1C122BA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检查系统管理功能是否正常</w:t>
            </w:r>
          </w:p>
        </w:tc>
        <w:tc>
          <w:tcPr>
            <w:tcW w:w="2155" w:type="dxa"/>
          </w:tcPr>
          <w:p w14:paraId="305E6B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1次/季度</w:t>
            </w:r>
          </w:p>
        </w:tc>
      </w:tr>
    </w:tbl>
    <w:p w14:paraId="3D8D1B2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  <w:t>三、解答用户疑问</w:t>
      </w:r>
    </w:p>
    <w:p w14:paraId="0DDA4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乙方提供7×24小时的技术服务支持保障，确保系统的正常稳定运行。系统在出现故障时，在接到通知后，工作日09:00-18:00期间1小时内响应，如不能电话或远程解决问题的，工程师在24小时内到达现场处理。</w:t>
      </w:r>
    </w:p>
    <w:p w14:paraId="3D994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乙方对甲方在使用系统过程中遇到的问题，通过电话、网络、传真等各种方式及时解决。主要包括热线电话和网络服务两种方式。</w:t>
      </w:r>
    </w:p>
    <w:p w14:paraId="18602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（一）热线电话要求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6319"/>
        <w:gridCol w:w="1393"/>
      </w:tblGrid>
      <w:tr w14:paraId="45650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top"/>
          </w:tcPr>
          <w:p w14:paraId="0BCE7565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7413" w:type="dxa"/>
            <w:vAlign w:val="top"/>
          </w:tcPr>
          <w:p w14:paraId="78F6FE46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1570" w:type="dxa"/>
            <w:vAlign w:val="top"/>
          </w:tcPr>
          <w:p w14:paraId="749AE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服务标准</w:t>
            </w:r>
          </w:p>
        </w:tc>
      </w:tr>
      <w:tr w14:paraId="023E6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center"/>
          </w:tcPr>
          <w:p w14:paraId="489BAF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7413" w:type="dxa"/>
            <w:vAlign w:val="top"/>
          </w:tcPr>
          <w:p w14:paraId="244E27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乙方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开通服务热线，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在甲方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用户在系统使用过程中遇到任何问题，可以通过热线电话得到支持和帮助</w:t>
            </w:r>
          </w:p>
        </w:tc>
        <w:tc>
          <w:tcPr>
            <w:tcW w:w="1570" w:type="dxa"/>
            <w:vAlign w:val="center"/>
          </w:tcPr>
          <w:p w14:paraId="5194E8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按需</w:t>
            </w:r>
          </w:p>
        </w:tc>
      </w:tr>
      <w:tr w14:paraId="376FE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center"/>
          </w:tcPr>
          <w:p w14:paraId="7C37AA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7413" w:type="dxa"/>
            <w:vAlign w:val="top"/>
          </w:tcPr>
          <w:p w14:paraId="46F00E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乙方协助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处理并答复常见的、可即时响应的问题</w:t>
            </w:r>
          </w:p>
        </w:tc>
        <w:tc>
          <w:tcPr>
            <w:tcW w:w="1570" w:type="dxa"/>
            <w:vAlign w:val="center"/>
          </w:tcPr>
          <w:p w14:paraId="52D90E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按需</w:t>
            </w:r>
          </w:p>
        </w:tc>
      </w:tr>
      <w:tr w14:paraId="0BD2C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center"/>
          </w:tcPr>
          <w:p w14:paraId="5A6924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7413" w:type="dxa"/>
            <w:vAlign w:val="top"/>
          </w:tcPr>
          <w:p w14:paraId="0E9C46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对于一时无法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及时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答复的，但影响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甲方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业务需要紧急解决的问题，立即组织技术小组商讨解决方案，24小时内答复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甲方并给出解决方案</w:t>
            </w:r>
          </w:p>
        </w:tc>
        <w:tc>
          <w:tcPr>
            <w:tcW w:w="1570" w:type="dxa"/>
            <w:vAlign w:val="center"/>
          </w:tcPr>
          <w:p w14:paraId="2E2F3D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按需</w:t>
            </w:r>
          </w:p>
        </w:tc>
      </w:tr>
      <w:tr w14:paraId="47D0E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center"/>
          </w:tcPr>
          <w:p w14:paraId="0CE218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7413" w:type="dxa"/>
            <w:vAlign w:val="top"/>
          </w:tcPr>
          <w:p w14:paraId="3A86A5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对于一时无法答复的，但不影响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甲方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业务的问题，立即组织技术小组商讨解决方案，48小时内答复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甲方并给出解决方案</w:t>
            </w:r>
          </w:p>
        </w:tc>
        <w:tc>
          <w:tcPr>
            <w:tcW w:w="1570" w:type="dxa"/>
            <w:vAlign w:val="center"/>
          </w:tcPr>
          <w:p w14:paraId="1001F1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按需</w:t>
            </w:r>
          </w:p>
        </w:tc>
      </w:tr>
      <w:tr w14:paraId="1E7C8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center"/>
          </w:tcPr>
          <w:p w14:paraId="5BE73B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7413" w:type="dxa"/>
            <w:vAlign w:val="top"/>
          </w:tcPr>
          <w:p w14:paraId="246A27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乙方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整理典型的问题及其解答，形成用户反馈问题电话记录文档，建立热线电话服务知识树，提交常见问题解答列表</w:t>
            </w:r>
          </w:p>
        </w:tc>
        <w:tc>
          <w:tcPr>
            <w:tcW w:w="1570" w:type="dxa"/>
            <w:vAlign w:val="center"/>
          </w:tcPr>
          <w:p w14:paraId="1F7DF9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按需</w:t>
            </w:r>
          </w:p>
        </w:tc>
      </w:tr>
    </w:tbl>
    <w:p w14:paraId="48553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（二）网络服务要求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6319"/>
        <w:gridCol w:w="1393"/>
      </w:tblGrid>
      <w:tr w14:paraId="06E75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1" w:type="dxa"/>
            <w:vAlign w:val="top"/>
          </w:tcPr>
          <w:p w14:paraId="3ED3E7C2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7413" w:type="dxa"/>
            <w:vAlign w:val="top"/>
          </w:tcPr>
          <w:p w14:paraId="715B9FA4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1570" w:type="dxa"/>
            <w:vAlign w:val="top"/>
          </w:tcPr>
          <w:p w14:paraId="4362E2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服务标准</w:t>
            </w:r>
          </w:p>
        </w:tc>
      </w:tr>
      <w:tr w14:paraId="65E88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center"/>
          </w:tcPr>
          <w:p w14:paraId="619506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7413" w:type="dxa"/>
            <w:vAlign w:val="top"/>
          </w:tcPr>
          <w:p w14:paraId="738FD8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乙方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开通电子邮件服务，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甲方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在系统使用过程中遇到任何问题，都可以通过电子邮件得到网上支持和帮助。</w:t>
            </w:r>
          </w:p>
        </w:tc>
        <w:tc>
          <w:tcPr>
            <w:tcW w:w="1570" w:type="dxa"/>
            <w:vAlign w:val="center"/>
          </w:tcPr>
          <w:p w14:paraId="3D6745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按需</w:t>
            </w:r>
          </w:p>
        </w:tc>
      </w:tr>
      <w:tr w14:paraId="0FE51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center"/>
          </w:tcPr>
          <w:p w14:paraId="4E7AAB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7413" w:type="dxa"/>
            <w:vAlign w:val="top"/>
          </w:tcPr>
          <w:p w14:paraId="1D1AC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乙方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开通传真服务，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甲方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在系统使用过程中遇到任何问题，都可以通过传真函件得到支持和帮助。</w:t>
            </w:r>
          </w:p>
        </w:tc>
        <w:tc>
          <w:tcPr>
            <w:tcW w:w="1570" w:type="dxa"/>
            <w:vAlign w:val="center"/>
          </w:tcPr>
          <w:p w14:paraId="25FEB2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按需</w:t>
            </w:r>
          </w:p>
        </w:tc>
      </w:tr>
    </w:tbl>
    <w:p w14:paraId="4FFA638A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  <w:t>四、运维开发团队后端支持</w:t>
      </w:r>
    </w:p>
    <w:p w14:paraId="08EA3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乙方对于巡检人员在维护过程遇到不能解决的问题，巡检人员将通过电话、网络等各种实时通信方式，及时与乙方运维开发团队进行沟通并解决。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6319"/>
        <w:gridCol w:w="1393"/>
      </w:tblGrid>
      <w:tr w14:paraId="5178F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center"/>
          </w:tcPr>
          <w:p w14:paraId="1C28A11C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7413" w:type="dxa"/>
            <w:vAlign w:val="center"/>
          </w:tcPr>
          <w:p w14:paraId="5A16DC9F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1570" w:type="dxa"/>
            <w:vAlign w:val="center"/>
          </w:tcPr>
          <w:p w14:paraId="17E711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服务标准</w:t>
            </w:r>
          </w:p>
        </w:tc>
      </w:tr>
      <w:tr w14:paraId="3365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center"/>
          </w:tcPr>
          <w:p w14:paraId="46674ADE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7413" w:type="dxa"/>
          </w:tcPr>
          <w:p w14:paraId="21617418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乙方巡检人员遇到一些特殊的状况，未能自行解决的，要求能及时通过远程进行沟通并解决。</w:t>
            </w:r>
          </w:p>
        </w:tc>
        <w:tc>
          <w:tcPr>
            <w:tcW w:w="1570" w:type="dxa"/>
            <w:vAlign w:val="center"/>
          </w:tcPr>
          <w:p w14:paraId="41D5F379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按需</w:t>
            </w:r>
          </w:p>
          <w:p w14:paraId="076BC3D0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221EA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center"/>
          </w:tcPr>
          <w:p w14:paraId="2F8F64C0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7413" w:type="dxa"/>
          </w:tcPr>
          <w:p w14:paraId="2CE1D1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对于系统出现问题，乙方能进行代码修复。</w:t>
            </w:r>
          </w:p>
        </w:tc>
        <w:tc>
          <w:tcPr>
            <w:tcW w:w="1570" w:type="dxa"/>
            <w:vAlign w:val="center"/>
          </w:tcPr>
          <w:p w14:paraId="1F736F97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按需</w:t>
            </w:r>
          </w:p>
        </w:tc>
      </w:tr>
      <w:tr w14:paraId="78034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center"/>
          </w:tcPr>
          <w:p w14:paraId="5684F6E1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7413" w:type="dxa"/>
          </w:tcPr>
          <w:p w14:paraId="222EB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对于软件运行中出现缓慢的情况，乙方应提供性能优化服务，如软件方面无法再优化，乙方需提出有效解决建议方案给甲方。</w:t>
            </w:r>
          </w:p>
        </w:tc>
        <w:tc>
          <w:tcPr>
            <w:tcW w:w="1570" w:type="dxa"/>
            <w:vAlign w:val="center"/>
          </w:tcPr>
          <w:p w14:paraId="44AD9DE5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按需</w:t>
            </w:r>
          </w:p>
        </w:tc>
      </w:tr>
    </w:tbl>
    <w:p w14:paraId="4E3B993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  <w:t>五、业务单位回访及答疑</w:t>
      </w:r>
    </w:p>
    <w:p w14:paraId="29C3E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乙方应主动回访客户，定期对甲方使用系统情况进行总结，提交服务总结报告。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6323"/>
        <w:gridCol w:w="1391"/>
      </w:tblGrid>
      <w:tr w14:paraId="25CB2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top"/>
          </w:tcPr>
          <w:p w14:paraId="7A78DCCC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7413" w:type="dxa"/>
            <w:vAlign w:val="top"/>
          </w:tcPr>
          <w:p w14:paraId="588BCB5D"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1570" w:type="dxa"/>
            <w:vAlign w:val="top"/>
          </w:tcPr>
          <w:p w14:paraId="0AA0F3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服务标准</w:t>
            </w:r>
          </w:p>
        </w:tc>
      </w:tr>
      <w:tr w14:paraId="753AB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871" w:type="dxa"/>
            <w:vAlign w:val="center"/>
          </w:tcPr>
          <w:p w14:paraId="5880D1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7413" w:type="dxa"/>
            <w:vAlign w:val="top"/>
          </w:tcPr>
          <w:p w14:paraId="5AAF20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乙方应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主动回访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甲方单位或操作人员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，询问对软件产品的建议和上线后系统操作的感受</w:t>
            </w:r>
          </w:p>
        </w:tc>
        <w:tc>
          <w:tcPr>
            <w:tcW w:w="1570" w:type="dxa"/>
            <w:vAlign w:val="center"/>
          </w:tcPr>
          <w:p w14:paraId="509389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1次/年</w:t>
            </w:r>
          </w:p>
        </w:tc>
      </w:tr>
      <w:tr w14:paraId="65C18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center"/>
          </w:tcPr>
          <w:p w14:paraId="1C28CC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7413" w:type="dxa"/>
            <w:vAlign w:val="top"/>
          </w:tcPr>
          <w:p w14:paraId="655037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乙方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根据回访结果，对于系统使用建议、其他业务需求、项目需求等问题，进行总结并形成《服务总结报告》，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反馈至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乙方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总部，并制定改进措施</w:t>
            </w:r>
          </w:p>
        </w:tc>
        <w:tc>
          <w:tcPr>
            <w:tcW w:w="1570" w:type="dxa"/>
            <w:vAlign w:val="center"/>
          </w:tcPr>
          <w:p w14:paraId="2D93A3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1次/年</w:t>
            </w:r>
          </w:p>
        </w:tc>
      </w:tr>
    </w:tbl>
    <w:p w14:paraId="63F56B1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  <w:t>六、满意度调查</w:t>
      </w:r>
    </w:p>
    <w:p w14:paraId="49A5E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乙方应通过对甲方使用单位或操作人员的满意度调查，获取甲方使用单位或操作人员对软件系统和维护服务的需求和评价，了解软件和服务改进问题，从而采取针对性的改进措施。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6319"/>
        <w:gridCol w:w="1393"/>
      </w:tblGrid>
      <w:tr w14:paraId="41CDE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  <w:vAlign w:val="top"/>
          </w:tcPr>
          <w:p w14:paraId="7EC6645E">
            <w:pPr>
              <w:pStyle w:val="4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7413" w:type="dxa"/>
            <w:vAlign w:val="top"/>
          </w:tcPr>
          <w:p w14:paraId="4F993AF3">
            <w:pPr>
              <w:pStyle w:val="4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1570" w:type="dxa"/>
            <w:vAlign w:val="top"/>
          </w:tcPr>
          <w:p w14:paraId="7376FA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服务标准</w:t>
            </w:r>
          </w:p>
        </w:tc>
      </w:tr>
      <w:tr w14:paraId="2976A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871" w:type="dxa"/>
            <w:vAlign w:val="center"/>
          </w:tcPr>
          <w:p w14:paraId="6DF8A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7413" w:type="dxa"/>
            <w:vAlign w:val="top"/>
          </w:tcPr>
          <w:p w14:paraId="6A6A5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乙方可通过调查问卷或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电话方式对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甲方使用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或操作人员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进行满意度调查。</w:t>
            </w:r>
          </w:p>
        </w:tc>
        <w:tc>
          <w:tcPr>
            <w:tcW w:w="1570" w:type="dxa"/>
            <w:vAlign w:val="center"/>
          </w:tcPr>
          <w:p w14:paraId="615D8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1次/年</w:t>
            </w:r>
          </w:p>
        </w:tc>
      </w:tr>
    </w:tbl>
    <w:p w14:paraId="54C0E42F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@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4723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A3011E">
                          <w:pPr>
                            <w:pStyle w:val="5"/>
                            <w:rPr>
                              <w:rFonts w:hint="eastAsia"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4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A3011E">
                    <w:pPr>
                      <w:pStyle w:val="5"/>
                      <w:rPr>
                        <w:rFonts w:hint="eastAsia"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4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3AA0F2"/>
    <w:multiLevelType w:val="singleLevel"/>
    <w:tmpl w:val="883AA0F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D8AB129"/>
    <w:multiLevelType w:val="singleLevel"/>
    <w:tmpl w:val="ED8AB1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MjMzMzZiYjIzNTA3ZWU5Mjg4YjkxYjQ5YTJjOGYifQ=="/>
  </w:docVars>
  <w:rsids>
    <w:rsidRoot w:val="00000000"/>
    <w:rsid w:val="14EF6168"/>
    <w:rsid w:val="22671853"/>
    <w:rsid w:val="3E0D18B6"/>
    <w:rsid w:val="494264E5"/>
    <w:rsid w:val="4E9D6B8D"/>
    <w:rsid w:val="5AEF09A5"/>
    <w:rsid w:val="5CB329A8"/>
    <w:rsid w:val="64E4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 w:line="360" w:lineRule="auto"/>
      <w:ind w:left="0" w:right="0"/>
      <w:jc w:val="both"/>
    </w:pPr>
    <w:rPr>
      <w:rFonts w:hint="default" w:ascii="宋体" w:hAnsi="宋体" w:eastAsia="宋体" w:cs="@宋体"/>
      <w:sz w:val="24"/>
      <w:szCs w:val="22"/>
      <w:lang w:bidi="ar"/>
    </w:rPr>
  </w:style>
  <w:style w:type="paragraph" w:styleId="3">
    <w:name w:val="Normal Indent"/>
    <w:basedOn w:val="1"/>
    <w:next w:val="4"/>
    <w:autoRedefine/>
    <w:qFormat/>
    <w:uiPriority w:val="0"/>
    <w:pPr>
      <w:ind w:firstLine="420" w:firstLineChars="200"/>
    </w:pPr>
  </w:style>
  <w:style w:type="paragraph" w:customStyle="1" w:styleId="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819</Words>
  <Characters>838</Characters>
  <Lines>0</Lines>
  <Paragraphs>0</Paragraphs>
  <TotalTime>20</TotalTime>
  <ScaleCrop>false</ScaleCrop>
  <LinksUpToDate>false</LinksUpToDate>
  <CharactersWithSpaces>841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2024-03-04T09:44:00Z</dcterms:created>
  <dc:creator>Administrator</dc:creator>
  <cp:lastModifiedBy>枚子</cp:lastModifiedBy>
  <dcterms:modified xsi:type="dcterms:W3CDTF">2025-05-14T07:47:50Z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F29B9040094546409EA8D5735E51011E_13</vt:lpwstr>
  </property>
  <property fmtid="{D5CDD505-2E9C-101B-9397-08002B2CF9AE}" pid="4" name="KSOTemplateDocerSaveRecord">
    <vt:lpwstr>eyJoZGlkIjoiMWZhNjExZWYxYTQ4ZTVkMjM5YjYzNzg2ZDNmZTkxNDMiLCJ1c2VySWQiOiIzNzA2NTkwMjIifQ==</vt:lpwstr>
  </property>
</Properties>
</file>