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8295969">
      <w:pPr>
        <w:spacing w:before="156" w:beforeLines="50" w:after="156" w:afterLines="50" w:line="300" w:lineRule="auto"/>
        <w:jc w:val="center"/>
        <w:rPr>
          <w:sz w:val="44"/>
          <w:szCs w:val="44"/>
        </w:rPr>
      </w:pPr>
      <w:r>
        <w:rPr>
          <w:rFonts w:hint="eastAsia"/>
          <w:sz w:val="44"/>
          <w:szCs w:val="44"/>
          <w:lang w:eastAsia="zh-CN"/>
        </w:rPr>
        <w:t>《</w:t>
      </w:r>
      <w:r>
        <w:rPr>
          <w:rFonts w:hint="eastAsia"/>
          <w:sz w:val="44"/>
          <w:szCs w:val="44"/>
          <w:lang w:val="en-US" w:eastAsia="zh-CN"/>
        </w:rPr>
        <w:t>阳春市中医院数字化医院信息系统建设项目</w:t>
      </w:r>
      <w:r>
        <w:rPr>
          <w:rFonts w:hint="eastAsia"/>
          <w:sz w:val="44"/>
          <w:szCs w:val="44"/>
          <w:lang w:eastAsia="zh-CN"/>
        </w:rPr>
        <w:t>》</w:t>
      </w:r>
      <w:r>
        <w:rPr>
          <w:rFonts w:hint="eastAsia"/>
          <w:sz w:val="44"/>
          <w:szCs w:val="44"/>
          <w:lang w:val="en-US" w:eastAsia="zh-CN"/>
        </w:rPr>
        <w:t>维保服务采购</w:t>
      </w:r>
      <w:r>
        <w:rPr>
          <w:rFonts w:hint="eastAsia"/>
          <w:sz w:val="44"/>
          <w:szCs w:val="44"/>
        </w:rPr>
        <w:t>需求表</w:t>
      </w:r>
    </w:p>
    <w:p w14:paraId="6F5C283F">
      <w:pPr>
        <w:pStyle w:val="5"/>
        <w:numPr>
          <w:ilvl w:val="0"/>
          <w:numId w:val="1"/>
        </w:numPr>
        <w:spacing w:before="156" w:beforeLines="50" w:after="156" w:afterLines="50" w:line="300" w:lineRule="auto"/>
      </w:pPr>
      <w:r>
        <w:rPr>
          <w:rFonts w:hint="eastAsia"/>
        </w:rPr>
        <w:t>项目概况</w:t>
      </w:r>
    </w:p>
    <w:tbl>
      <w:tblPr>
        <w:tblStyle w:val="6"/>
        <w:tblW w:w="9351" w:type="dxa"/>
        <w:jc w:val="center"/>
        <w:tblBorders>
          <w:top w:val="none" w:color="auto" w:sz="0" w:space="0"/>
          <w:left w:val="single" w:color="auto" w:sz="2" w:space="0"/>
          <w:bottom w:val="single" w:color="auto" w:sz="2" w:space="0"/>
          <w:right w:val="single" w:color="auto" w:sz="2" w:space="0"/>
          <w:insideH w:val="none" w:color="auto" w:sz="0" w:space="0"/>
          <w:insideV w:val="none" w:color="auto" w:sz="0" w:space="0"/>
        </w:tblBorders>
        <w:tblLayout w:type="fixed"/>
        <w:tblCellMar>
          <w:top w:w="64" w:type="dxa"/>
          <w:left w:w="128" w:type="dxa"/>
          <w:bottom w:w="64" w:type="dxa"/>
          <w:right w:w="128" w:type="dxa"/>
        </w:tblCellMar>
      </w:tblPr>
      <w:tblGrid>
        <w:gridCol w:w="1555"/>
        <w:gridCol w:w="7796"/>
      </w:tblGrid>
      <w:tr w14:paraId="484FD4E5">
        <w:tblPrEx>
          <w:tblBorders>
            <w:top w:val="none" w:color="auto" w:sz="0"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3" w:hRule="atLeast"/>
          <w:tblHeader/>
          <w:jc w:val="center"/>
        </w:trPr>
        <w:tc>
          <w:tcPr>
            <w:tcW w:w="1555" w:type="dxa"/>
            <w:tcBorders>
              <w:top w:val="single" w:color="auto" w:sz="4" w:space="0"/>
              <w:left w:val="single" w:color="auto" w:sz="4" w:space="0"/>
              <w:bottom w:val="single" w:color="auto" w:sz="4" w:space="0"/>
              <w:right w:val="single" w:color="auto" w:sz="4" w:space="0"/>
            </w:tcBorders>
            <w:shd w:val="clear" w:color="auto" w:fill="F2F2F2"/>
            <w:vAlign w:val="center"/>
          </w:tcPr>
          <w:p w14:paraId="7F0792B7">
            <w:pPr>
              <w:widowControl/>
              <w:snapToGrid w:val="0"/>
              <w:spacing w:before="156" w:beforeLines="50" w:after="156" w:afterLines="50" w:line="300" w:lineRule="auto"/>
              <w:jc w:val="center"/>
              <w:rPr>
                <w:rFonts w:ascii="宋体" w:eastAsia="宋体"/>
                <w:b/>
                <w:bCs/>
                <w:color w:val="000000"/>
                <w:sz w:val="24"/>
                <w:szCs w:val="19"/>
              </w:rPr>
            </w:pPr>
            <w:r>
              <w:rPr>
                <w:rFonts w:hint="eastAsia" w:ascii="宋体" w:hAnsi="宋体" w:eastAsia="宋体" w:cs="宋体"/>
                <w:b/>
                <w:bCs/>
                <w:color w:val="000000"/>
                <w:kern w:val="0"/>
                <w:sz w:val="24"/>
                <w:szCs w:val="19"/>
                <w:lang w:bidi="ar"/>
              </w:rPr>
              <w:t>项目信息项</w:t>
            </w:r>
          </w:p>
        </w:tc>
        <w:tc>
          <w:tcPr>
            <w:tcW w:w="7796" w:type="dxa"/>
            <w:tcBorders>
              <w:top w:val="single" w:color="auto" w:sz="4" w:space="0"/>
              <w:left w:val="single" w:color="auto" w:sz="4" w:space="0"/>
              <w:bottom w:val="single" w:color="auto" w:sz="4" w:space="0"/>
              <w:right w:val="single" w:color="auto" w:sz="4" w:space="0"/>
            </w:tcBorders>
            <w:shd w:val="clear" w:color="auto" w:fill="F2F2F2"/>
            <w:vAlign w:val="center"/>
          </w:tcPr>
          <w:p w14:paraId="5811F273">
            <w:pPr>
              <w:widowControl/>
              <w:snapToGrid w:val="0"/>
              <w:spacing w:before="156" w:beforeLines="50" w:after="156" w:afterLines="50" w:line="300" w:lineRule="auto"/>
              <w:jc w:val="center"/>
              <w:rPr>
                <w:rFonts w:ascii="宋体" w:eastAsia="宋体"/>
                <w:b/>
                <w:bCs/>
                <w:color w:val="000000"/>
                <w:sz w:val="24"/>
                <w:szCs w:val="19"/>
              </w:rPr>
            </w:pPr>
            <w:r>
              <w:rPr>
                <w:rFonts w:hint="eastAsia" w:ascii="宋体" w:hAnsi="宋体" w:eastAsia="宋体" w:cs="宋体"/>
                <w:b/>
                <w:bCs/>
                <w:color w:val="000000"/>
                <w:kern w:val="0"/>
                <w:sz w:val="24"/>
                <w:szCs w:val="19"/>
                <w:lang w:bidi="ar"/>
              </w:rPr>
              <w:t>具体内容</w:t>
            </w:r>
          </w:p>
        </w:tc>
      </w:tr>
      <w:tr w14:paraId="0E15ECFD">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3"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6949E926">
            <w:pPr>
              <w:widowControl/>
              <w:snapToGrid w:val="0"/>
              <w:spacing w:before="156" w:beforeLines="50" w:after="156" w:afterLines="50" w:line="300" w:lineRule="auto"/>
              <w:jc w:val="center"/>
              <w:rPr>
                <w:rFonts w:ascii="宋体" w:eastAsia="宋体"/>
                <w:sz w:val="24"/>
                <w:szCs w:val="19"/>
              </w:rPr>
            </w:pPr>
            <w:r>
              <w:rPr>
                <w:rFonts w:ascii="宋体" w:hAnsi="宋体" w:eastAsia="宋体" w:cs="宋体"/>
                <w:kern w:val="0"/>
                <w:sz w:val="24"/>
                <w:szCs w:val="19"/>
                <w:lang w:bidi="ar"/>
              </w:rPr>
              <w:t>项目名称</w:t>
            </w:r>
          </w:p>
        </w:tc>
        <w:tc>
          <w:tcPr>
            <w:tcW w:w="7796" w:type="dxa"/>
            <w:tcBorders>
              <w:top w:val="single" w:color="auto" w:sz="4" w:space="0"/>
              <w:left w:val="single" w:color="auto" w:sz="4" w:space="0"/>
              <w:bottom w:val="single" w:color="auto" w:sz="4" w:space="0"/>
              <w:right w:val="single" w:color="auto" w:sz="4" w:space="0"/>
            </w:tcBorders>
            <w:vAlign w:val="center"/>
          </w:tcPr>
          <w:p w14:paraId="1BC7A0A3">
            <w:pPr>
              <w:widowControl/>
              <w:snapToGrid w:val="0"/>
              <w:spacing w:before="156" w:beforeLines="50" w:after="156" w:afterLines="50" w:line="300" w:lineRule="auto"/>
              <w:jc w:val="center"/>
              <w:rPr>
                <w:rFonts w:ascii="宋体" w:eastAsia="宋体"/>
                <w:sz w:val="24"/>
                <w:szCs w:val="19"/>
              </w:rPr>
            </w:pPr>
            <w:r>
              <w:rPr>
                <w:rFonts w:hint="eastAsia" w:ascii="宋体" w:hAnsi="宋体" w:eastAsia="宋体" w:cs="宋体"/>
                <w:kern w:val="0"/>
                <w:sz w:val="24"/>
                <w:szCs w:val="19"/>
                <w:lang w:eastAsia="zh-CN" w:bidi="ar"/>
              </w:rPr>
              <w:t>《</w:t>
            </w:r>
            <w:r>
              <w:rPr>
                <w:rFonts w:hint="eastAsia" w:ascii="宋体" w:hAnsi="宋体" w:eastAsia="宋体" w:cs="宋体"/>
                <w:kern w:val="0"/>
                <w:sz w:val="24"/>
                <w:szCs w:val="19"/>
                <w:lang w:val="en-US" w:eastAsia="zh-CN" w:bidi="ar"/>
              </w:rPr>
              <w:t>阳春市中医院数字化医院信息系统建设项目</w:t>
            </w:r>
            <w:r>
              <w:rPr>
                <w:rFonts w:hint="eastAsia" w:ascii="宋体" w:hAnsi="宋体" w:eastAsia="宋体" w:cs="宋体"/>
                <w:kern w:val="0"/>
                <w:sz w:val="24"/>
                <w:szCs w:val="19"/>
                <w:lang w:eastAsia="zh-CN" w:bidi="ar"/>
              </w:rPr>
              <w:t>》</w:t>
            </w:r>
            <w:r>
              <w:rPr>
                <w:rFonts w:hint="eastAsia" w:ascii="宋体" w:hAnsi="宋体" w:eastAsia="宋体" w:cs="宋体"/>
                <w:kern w:val="0"/>
                <w:sz w:val="24"/>
                <w:szCs w:val="19"/>
                <w:lang w:val="en-US" w:eastAsia="zh-CN" w:bidi="ar"/>
              </w:rPr>
              <w:t>维保服务</w:t>
            </w:r>
          </w:p>
        </w:tc>
      </w:tr>
      <w:tr w14:paraId="15C5471E">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8"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66DFDA0E">
            <w:pPr>
              <w:widowControl/>
              <w:snapToGrid w:val="0"/>
              <w:spacing w:before="156" w:beforeLines="50" w:after="156" w:afterLines="50" w:line="300" w:lineRule="auto"/>
              <w:jc w:val="center"/>
              <w:rPr>
                <w:rFonts w:ascii="宋体" w:eastAsia="宋体"/>
                <w:sz w:val="24"/>
                <w:szCs w:val="19"/>
              </w:rPr>
            </w:pPr>
            <w:r>
              <w:rPr>
                <w:rFonts w:ascii="宋体" w:hAnsi="宋体" w:eastAsia="宋体" w:cs="宋体"/>
                <w:kern w:val="0"/>
                <w:sz w:val="24"/>
                <w:szCs w:val="19"/>
                <w:lang w:bidi="ar"/>
              </w:rPr>
              <w:t>采购单位</w:t>
            </w:r>
          </w:p>
        </w:tc>
        <w:tc>
          <w:tcPr>
            <w:tcW w:w="7796" w:type="dxa"/>
            <w:tcBorders>
              <w:top w:val="single" w:color="auto" w:sz="4" w:space="0"/>
              <w:left w:val="single" w:color="auto" w:sz="4" w:space="0"/>
              <w:bottom w:val="single" w:color="auto" w:sz="4" w:space="0"/>
              <w:right w:val="single" w:color="auto" w:sz="4" w:space="0"/>
            </w:tcBorders>
            <w:vAlign w:val="center"/>
          </w:tcPr>
          <w:p w14:paraId="222866A9">
            <w:pPr>
              <w:widowControl/>
              <w:snapToGrid w:val="0"/>
              <w:spacing w:before="156" w:beforeLines="50" w:after="156" w:afterLines="50" w:line="300" w:lineRule="auto"/>
              <w:jc w:val="center"/>
              <w:rPr>
                <w:rFonts w:ascii="宋体" w:eastAsia="宋体"/>
                <w:sz w:val="24"/>
                <w:szCs w:val="19"/>
              </w:rPr>
            </w:pPr>
            <w:r>
              <w:rPr>
                <w:rFonts w:ascii="宋体" w:hAnsi="宋体" w:eastAsia="宋体" w:cs="宋体"/>
                <w:kern w:val="0"/>
                <w:sz w:val="24"/>
                <w:szCs w:val="19"/>
                <w:lang w:bidi="ar"/>
              </w:rPr>
              <w:t>阳春市中医院</w:t>
            </w:r>
          </w:p>
        </w:tc>
      </w:tr>
      <w:tr w14:paraId="60B66E90">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3"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79A9E34F">
            <w:pPr>
              <w:widowControl/>
              <w:snapToGrid w:val="0"/>
              <w:spacing w:before="156" w:beforeLines="50" w:after="156" w:afterLines="50" w:line="300" w:lineRule="auto"/>
              <w:jc w:val="center"/>
              <w:rPr>
                <w:rFonts w:ascii="宋体" w:eastAsia="宋体"/>
                <w:sz w:val="24"/>
                <w:szCs w:val="19"/>
              </w:rPr>
            </w:pPr>
            <w:r>
              <w:rPr>
                <w:rFonts w:ascii="宋体" w:hAnsi="宋体" w:eastAsia="宋体" w:cs="宋体"/>
                <w:kern w:val="0"/>
                <w:sz w:val="24"/>
                <w:szCs w:val="19"/>
                <w:lang w:bidi="ar"/>
              </w:rPr>
              <w:t>采购内容</w:t>
            </w:r>
          </w:p>
        </w:tc>
        <w:tc>
          <w:tcPr>
            <w:tcW w:w="7796" w:type="dxa"/>
            <w:tcBorders>
              <w:top w:val="single" w:color="auto" w:sz="4" w:space="0"/>
              <w:left w:val="single" w:color="auto" w:sz="4" w:space="0"/>
              <w:bottom w:val="single" w:color="auto" w:sz="4" w:space="0"/>
              <w:right w:val="single" w:color="auto" w:sz="4" w:space="0"/>
            </w:tcBorders>
            <w:vAlign w:val="center"/>
          </w:tcPr>
          <w:p w14:paraId="208A810D">
            <w:pPr>
              <w:widowControl/>
              <w:snapToGrid w:val="0"/>
              <w:spacing w:before="156" w:beforeLines="50" w:after="156" w:afterLines="50" w:line="300" w:lineRule="auto"/>
              <w:jc w:val="left"/>
              <w:rPr>
                <w:rFonts w:hint="eastAsia" w:ascii="宋体" w:eastAsia="宋体"/>
                <w:sz w:val="24"/>
                <w:szCs w:val="19"/>
                <w:lang w:eastAsia="zh-CN"/>
              </w:rPr>
            </w:pPr>
            <w:r>
              <w:rPr>
                <w:rFonts w:hint="eastAsia" w:ascii="宋体" w:hAnsi="宋体" w:eastAsia="宋体" w:cs="宋体"/>
                <w:kern w:val="2"/>
                <w:sz w:val="24"/>
                <w:szCs w:val="21"/>
                <w:lang w:val="en-US" w:eastAsia="zh-CN" w:bidi="ar-SA"/>
              </w:rPr>
              <w:t>在现用系统模块的基础上提供数据修复、程序流程修改、需求修改与维护</w:t>
            </w:r>
            <w:r>
              <w:rPr>
                <w:rFonts w:ascii="宋体" w:hAnsi="宋体" w:eastAsia="宋体" w:cs="宋体"/>
                <w:kern w:val="0"/>
                <w:sz w:val="24"/>
                <w:szCs w:val="19"/>
                <w:lang w:bidi="ar"/>
              </w:rPr>
              <w:t>1年维保服务</w:t>
            </w:r>
          </w:p>
        </w:tc>
      </w:tr>
      <w:tr w14:paraId="29A88829">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3"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5E88A455">
            <w:pPr>
              <w:widowControl/>
              <w:snapToGrid w:val="0"/>
              <w:spacing w:before="156" w:beforeLines="50" w:after="156" w:afterLines="50" w:line="300" w:lineRule="auto"/>
              <w:jc w:val="center"/>
              <w:rPr>
                <w:rFonts w:ascii="宋体" w:eastAsia="宋体"/>
                <w:sz w:val="24"/>
                <w:szCs w:val="19"/>
              </w:rPr>
            </w:pPr>
            <w:r>
              <w:rPr>
                <w:rFonts w:ascii="宋体" w:hAnsi="宋体" w:eastAsia="宋体" w:cs="宋体"/>
                <w:kern w:val="0"/>
                <w:sz w:val="24"/>
                <w:szCs w:val="19"/>
                <w:lang w:bidi="ar"/>
              </w:rPr>
              <w:t>项目预算</w:t>
            </w:r>
          </w:p>
        </w:tc>
        <w:tc>
          <w:tcPr>
            <w:tcW w:w="7796" w:type="dxa"/>
            <w:tcBorders>
              <w:top w:val="single" w:color="auto" w:sz="4" w:space="0"/>
              <w:left w:val="single" w:color="auto" w:sz="4" w:space="0"/>
              <w:bottom w:val="single" w:color="auto" w:sz="4" w:space="0"/>
              <w:right w:val="single" w:color="auto" w:sz="4" w:space="0"/>
            </w:tcBorders>
            <w:vAlign w:val="center"/>
          </w:tcPr>
          <w:p w14:paraId="327038F9">
            <w:pPr>
              <w:widowControl/>
              <w:snapToGrid w:val="0"/>
              <w:spacing w:before="156" w:beforeLines="50" w:after="156" w:afterLines="50" w:line="300" w:lineRule="auto"/>
              <w:jc w:val="center"/>
              <w:rPr>
                <w:rFonts w:hint="default" w:ascii="宋体" w:eastAsia="宋体"/>
                <w:sz w:val="24"/>
                <w:szCs w:val="19"/>
                <w:lang w:val="en-US" w:eastAsia="zh-CN"/>
              </w:rPr>
            </w:pPr>
            <w:r>
              <w:rPr>
                <w:rFonts w:hint="eastAsia" w:ascii="宋体" w:eastAsia="宋体"/>
                <w:sz w:val="24"/>
                <w:szCs w:val="19"/>
                <w:lang w:val="en-US" w:eastAsia="zh-CN"/>
              </w:rPr>
              <w:t>96万</w:t>
            </w:r>
          </w:p>
        </w:tc>
      </w:tr>
      <w:tr w14:paraId="7C6B58FA">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3"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01805715">
            <w:pPr>
              <w:widowControl/>
              <w:snapToGrid w:val="0"/>
              <w:spacing w:before="156" w:beforeLines="50" w:after="156" w:afterLines="50" w:line="300" w:lineRule="auto"/>
              <w:jc w:val="center"/>
              <w:rPr>
                <w:sz w:val="24"/>
                <w:szCs w:val="19"/>
              </w:rPr>
            </w:pPr>
            <w:r>
              <w:rPr>
                <w:rFonts w:ascii="宋体" w:hAnsi="宋体" w:eastAsia="宋体" w:cs="宋体"/>
                <w:kern w:val="0"/>
                <w:sz w:val="24"/>
                <w:szCs w:val="19"/>
                <w:lang w:bidi="ar"/>
              </w:rPr>
              <w:t>交付周期</w:t>
            </w:r>
          </w:p>
        </w:tc>
        <w:tc>
          <w:tcPr>
            <w:tcW w:w="7796" w:type="dxa"/>
            <w:tcBorders>
              <w:top w:val="single" w:color="auto" w:sz="4" w:space="0"/>
              <w:left w:val="single" w:color="auto" w:sz="4" w:space="0"/>
              <w:bottom w:val="single" w:color="auto" w:sz="4" w:space="0"/>
              <w:right w:val="single" w:color="auto" w:sz="4" w:space="0"/>
            </w:tcBorders>
            <w:vAlign w:val="center"/>
          </w:tcPr>
          <w:p w14:paraId="238FB1F9">
            <w:pPr>
              <w:widowControl/>
              <w:snapToGrid w:val="0"/>
              <w:spacing w:before="156" w:beforeLines="50" w:after="156" w:afterLines="50" w:line="300" w:lineRule="auto"/>
              <w:jc w:val="center"/>
              <w:rPr>
                <w:rFonts w:hint="default" w:eastAsia="宋体"/>
                <w:sz w:val="24"/>
                <w:szCs w:val="19"/>
                <w:lang w:val="en-US" w:eastAsia="zh-CN"/>
              </w:rPr>
            </w:pPr>
            <w:r>
              <w:rPr>
                <w:rFonts w:hint="eastAsia" w:eastAsia="宋体"/>
                <w:sz w:val="24"/>
                <w:szCs w:val="19"/>
                <w:lang w:val="en-US" w:eastAsia="zh-CN"/>
              </w:rPr>
              <w:t>一年</w:t>
            </w:r>
          </w:p>
        </w:tc>
      </w:tr>
      <w:tr w14:paraId="423AFB8C">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8"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27D8BCAD">
            <w:pPr>
              <w:widowControl/>
              <w:snapToGrid w:val="0"/>
              <w:spacing w:before="156" w:beforeLines="50" w:after="156" w:afterLines="50" w:line="300" w:lineRule="auto"/>
              <w:jc w:val="center"/>
              <w:rPr>
                <w:rFonts w:ascii="宋体" w:eastAsia="宋体"/>
                <w:sz w:val="24"/>
                <w:szCs w:val="19"/>
              </w:rPr>
            </w:pPr>
            <w:r>
              <w:rPr>
                <w:rFonts w:ascii="宋体" w:hAnsi="宋体" w:eastAsia="宋体" w:cs="宋体"/>
                <w:kern w:val="0"/>
                <w:sz w:val="24"/>
                <w:szCs w:val="19"/>
                <w:lang w:bidi="ar"/>
              </w:rPr>
              <w:t>资金来源</w:t>
            </w:r>
          </w:p>
        </w:tc>
        <w:tc>
          <w:tcPr>
            <w:tcW w:w="7796" w:type="dxa"/>
            <w:tcBorders>
              <w:top w:val="single" w:color="auto" w:sz="4" w:space="0"/>
              <w:left w:val="single" w:color="auto" w:sz="4" w:space="0"/>
              <w:bottom w:val="single" w:color="auto" w:sz="4" w:space="0"/>
              <w:right w:val="single" w:color="auto" w:sz="4" w:space="0"/>
            </w:tcBorders>
            <w:vAlign w:val="center"/>
          </w:tcPr>
          <w:p w14:paraId="4A3E1A7A">
            <w:pPr>
              <w:widowControl/>
              <w:snapToGrid w:val="0"/>
              <w:spacing w:before="156" w:beforeLines="50" w:after="156" w:afterLines="50" w:line="300" w:lineRule="auto"/>
              <w:jc w:val="center"/>
              <w:rPr>
                <w:rFonts w:ascii="宋体" w:eastAsia="宋体"/>
                <w:sz w:val="24"/>
                <w:szCs w:val="19"/>
              </w:rPr>
            </w:pPr>
            <w:r>
              <w:rPr>
                <w:rFonts w:ascii="宋体" w:hAnsi="宋体" w:eastAsia="宋体" w:cs="宋体"/>
                <w:kern w:val="0"/>
                <w:sz w:val="24"/>
                <w:szCs w:val="19"/>
                <w:lang w:bidi="ar"/>
              </w:rPr>
              <w:t>医院自筹</w:t>
            </w:r>
          </w:p>
        </w:tc>
      </w:tr>
      <w:tr w14:paraId="0A8B5A1D">
        <w:tblPrEx>
          <w:tblBorders>
            <w:top w:val="single" w:color="auto" w:sz="4" w:space="0"/>
            <w:left w:val="single" w:color="auto" w:sz="2" w:space="0"/>
            <w:bottom w:val="single" w:color="auto" w:sz="2" w:space="0"/>
            <w:right w:val="single" w:color="auto" w:sz="2" w:space="0"/>
            <w:insideH w:val="none" w:color="auto" w:sz="0" w:space="0"/>
            <w:insideV w:val="none" w:color="auto" w:sz="0" w:space="0"/>
          </w:tblBorders>
          <w:tblCellMar>
            <w:top w:w="64" w:type="dxa"/>
            <w:left w:w="128" w:type="dxa"/>
            <w:bottom w:w="64" w:type="dxa"/>
            <w:right w:w="128" w:type="dxa"/>
          </w:tblCellMar>
        </w:tblPrEx>
        <w:trPr>
          <w:trHeight w:val="383" w:hRule="atLeast"/>
          <w:jc w:val="center"/>
        </w:trPr>
        <w:tc>
          <w:tcPr>
            <w:tcW w:w="1555" w:type="dxa"/>
            <w:tcBorders>
              <w:top w:val="single" w:color="auto" w:sz="4" w:space="0"/>
              <w:left w:val="single" w:color="auto" w:sz="4" w:space="0"/>
              <w:bottom w:val="single" w:color="auto" w:sz="4" w:space="0"/>
              <w:right w:val="single" w:color="auto" w:sz="4" w:space="0"/>
            </w:tcBorders>
            <w:vAlign w:val="center"/>
          </w:tcPr>
          <w:p w14:paraId="0D5732EB">
            <w:pPr>
              <w:widowControl/>
              <w:snapToGrid w:val="0"/>
              <w:spacing w:before="156" w:beforeLines="50" w:after="156" w:afterLines="50" w:line="300" w:lineRule="auto"/>
              <w:jc w:val="center"/>
              <w:rPr>
                <w:sz w:val="24"/>
                <w:szCs w:val="19"/>
              </w:rPr>
            </w:pPr>
            <w:r>
              <w:rPr>
                <w:rFonts w:ascii="宋体" w:hAnsi="宋体" w:eastAsia="宋体" w:cs="宋体"/>
                <w:kern w:val="0"/>
                <w:sz w:val="24"/>
                <w:szCs w:val="19"/>
                <w:lang w:bidi="ar"/>
              </w:rPr>
              <w:t>采购方式</w:t>
            </w:r>
          </w:p>
        </w:tc>
        <w:tc>
          <w:tcPr>
            <w:tcW w:w="7796" w:type="dxa"/>
            <w:tcBorders>
              <w:top w:val="single" w:color="auto" w:sz="4" w:space="0"/>
              <w:left w:val="single" w:color="auto" w:sz="4" w:space="0"/>
              <w:bottom w:val="single" w:color="auto" w:sz="4" w:space="0"/>
              <w:right w:val="single" w:color="auto" w:sz="4" w:space="0"/>
            </w:tcBorders>
            <w:vAlign w:val="center"/>
          </w:tcPr>
          <w:p w14:paraId="079B1E62">
            <w:pPr>
              <w:widowControl/>
              <w:snapToGrid w:val="0"/>
              <w:spacing w:before="156" w:beforeLines="50" w:after="156" w:afterLines="50" w:line="300" w:lineRule="auto"/>
              <w:jc w:val="center"/>
              <w:rPr>
                <w:sz w:val="24"/>
                <w:szCs w:val="19"/>
              </w:rPr>
            </w:pPr>
          </w:p>
        </w:tc>
      </w:tr>
    </w:tbl>
    <w:p w14:paraId="4D4AC33C">
      <w:pPr>
        <w:pStyle w:val="5"/>
        <w:numPr>
          <w:ilvl w:val="0"/>
          <w:numId w:val="1"/>
        </w:numPr>
        <w:spacing w:before="156" w:beforeLines="50" w:after="156" w:afterLines="50" w:line="300" w:lineRule="auto"/>
      </w:pPr>
      <w:r>
        <w:t>核心采购需求</w:t>
      </w:r>
    </w:p>
    <w:p w14:paraId="65E1C7AD">
      <w:pPr>
        <w:pStyle w:val="11"/>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稳定运行保障：保证现用各系统及其功能的完整及正确性，能承受不断增加的业务和数据压力，保证系统运行的高效、稳定；</w:t>
      </w:r>
    </w:p>
    <w:p w14:paraId="0C27FF08">
      <w:pPr>
        <w:pStyle w:val="11"/>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系统错误修复：信息系统在使用过程中发现的错误及时完成修复；</w:t>
      </w:r>
    </w:p>
    <w:p w14:paraId="76A31CCD">
      <w:pPr>
        <w:pStyle w:val="11"/>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系统数据修复：系统使用过程中，因用户误操作等原因导致的数据错误，查明原因和进行数据修复；</w:t>
      </w:r>
    </w:p>
    <w:p w14:paraId="56E2CFAA">
      <w:pPr>
        <w:pStyle w:val="11"/>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功能需求修改：为满足政策变化或管理需求而引起的功能需求修改，服务团队与医院一起制定新功能需求的应用场景及业务流程，完成新功能需求的设计、修改、上线；</w:t>
      </w:r>
    </w:p>
    <w:p w14:paraId="60BD7CE3">
      <w:pPr>
        <w:pStyle w:val="11"/>
        <w:keepNext w:val="0"/>
        <w:keepLines w:val="0"/>
        <w:pageBreakBefore w:val="0"/>
        <w:numPr>
          <w:ilvl w:val="0"/>
          <w:numId w:val="2"/>
        </w:numPr>
        <w:kinsoku/>
        <w:wordWrap/>
        <w:overflowPunct/>
        <w:topLinePunct w:val="0"/>
        <w:autoSpaceDE/>
        <w:autoSpaceDN/>
        <w:bidi w:val="0"/>
        <w:adjustRightInd/>
        <w:snapToGrid/>
        <w:spacing w:line="360" w:lineRule="auto"/>
        <w:ind w:left="425" w:leftChars="0" w:hanging="425" w:firstLineChars="0"/>
        <w:jc w:val="both"/>
        <w:textAlignment w:val="auto"/>
        <w:rPr>
          <w:rFonts w:hint="eastAsia" w:ascii="宋体" w:hAnsi="宋体" w:eastAsia="宋体" w:cs="宋体"/>
          <w:kern w:val="2"/>
          <w:sz w:val="24"/>
          <w:szCs w:val="21"/>
          <w:lang w:val="en-US" w:eastAsia="zh-CN" w:bidi="ar-SA"/>
        </w:rPr>
      </w:pPr>
      <w:r>
        <w:rPr>
          <w:rFonts w:hint="eastAsia" w:ascii="宋体" w:hAnsi="宋体" w:eastAsia="宋体" w:cs="宋体"/>
          <w:kern w:val="2"/>
          <w:sz w:val="24"/>
          <w:szCs w:val="21"/>
          <w:lang w:val="en-US" w:eastAsia="zh-CN" w:bidi="ar-SA"/>
        </w:rPr>
        <w:t>实施培训：负责因各种原因变化增加的项目实施和人员培训工作。</w:t>
      </w:r>
    </w:p>
    <w:p w14:paraId="4B69C0F5">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425" w:leftChars="0" w:hanging="425" w:firstLineChars="0"/>
        <w:jc w:val="left"/>
        <w:textAlignment w:val="auto"/>
        <w:rPr>
          <w:rFonts w:ascii="宋体" w:hAnsi="宋体" w:eastAsia="宋体"/>
          <w:sz w:val="24"/>
          <w:szCs w:val="24"/>
        </w:rPr>
      </w:pPr>
      <w:r>
        <w:rPr>
          <w:rFonts w:hint="eastAsia" w:ascii="宋体" w:hAnsi="宋体" w:eastAsia="宋体" w:cs="宋体"/>
          <w:kern w:val="2"/>
          <w:sz w:val="24"/>
          <w:szCs w:val="21"/>
          <w:lang w:val="en-US" w:eastAsia="zh-CN" w:bidi="ar-SA"/>
        </w:rPr>
        <w:t>信息化规划：协助医院做好短期、中期的信息化建设计划，并按照计划配合医院实施。</w:t>
      </w:r>
    </w:p>
    <w:p w14:paraId="4C63316F">
      <w:pPr>
        <w:pStyle w:val="10"/>
        <w:spacing w:before="156" w:beforeLines="50" w:after="156" w:afterLines="50" w:line="360" w:lineRule="auto"/>
        <w:ind w:firstLine="482" w:firstLineChars="200"/>
        <w:rPr>
          <w:rFonts w:hint="eastAsia" w:ascii="宋体" w:hAnsi="宋体" w:eastAsia="宋体"/>
          <w:b/>
          <w:sz w:val="24"/>
          <w:szCs w:val="24"/>
        </w:rPr>
      </w:pPr>
      <w:bookmarkStart w:id="0" w:name="OLE_LINK6"/>
      <w:bookmarkStart w:id="1" w:name="OLE_LINK5"/>
      <w:r>
        <w:rPr>
          <w:rFonts w:hint="eastAsia" w:ascii="宋体" w:hAnsi="宋体" w:eastAsia="宋体"/>
          <w:b/>
          <w:sz w:val="24"/>
          <w:szCs w:val="24"/>
        </w:rPr>
        <w:t>服务内容</w:t>
      </w:r>
      <w:bookmarkEnd w:id="0"/>
      <w:bookmarkEnd w:id="1"/>
      <w:r>
        <w:rPr>
          <w:rFonts w:hint="eastAsia" w:ascii="宋体" w:hAnsi="宋体" w:eastAsia="宋体"/>
          <w:b/>
          <w:sz w:val="24"/>
          <w:szCs w:val="24"/>
        </w:rPr>
        <w:t>清单：</w:t>
      </w:r>
    </w:p>
    <w:p w14:paraId="1C19E035">
      <w:pPr>
        <w:pStyle w:val="11"/>
        <w:keepNext w:val="0"/>
        <w:keepLines w:val="0"/>
        <w:pageBreakBefore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改正性维护：对在系统开发阶段已发生而系统测试阶段尚未发现的错误进行修改；</w:t>
      </w:r>
    </w:p>
    <w:p w14:paraId="224162EC">
      <w:pPr>
        <w:pStyle w:val="11"/>
        <w:keepNext w:val="0"/>
        <w:keepLines w:val="0"/>
        <w:pageBreakBefore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适应性维护：对现有系统架构范围内，为适应流程和管理需求变化而进行的修改；</w:t>
      </w:r>
    </w:p>
    <w:p w14:paraId="71907CFD">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rPr>
          <w:rFonts w:hint="eastAsia" w:ascii="宋体" w:hAnsi="宋体" w:eastAsia="宋体" w:cs="宋体"/>
          <w:sz w:val="24"/>
          <w:szCs w:val="24"/>
        </w:rPr>
      </w:pPr>
      <w:r>
        <w:rPr>
          <w:rFonts w:hint="eastAsia" w:ascii="宋体" w:hAnsi="宋体" w:eastAsia="宋体" w:cs="宋体"/>
          <w:sz w:val="24"/>
          <w:szCs w:val="24"/>
        </w:rPr>
        <w:t>完善性维护：为改善性能而进行的修改。</w:t>
      </w:r>
    </w:p>
    <w:p w14:paraId="1AC27BC6">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425" w:leftChars="0" w:hanging="425" w:firstLineChars="0"/>
        <w:jc w:val="left"/>
        <w:textAlignment w:val="auto"/>
        <w:rPr>
          <w:rFonts w:hint="eastAsia" w:ascii="宋体" w:hAnsi="宋体" w:eastAsia="宋体" w:cs="宋体"/>
          <w:kern w:val="2"/>
          <w:sz w:val="24"/>
          <w:szCs w:val="24"/>
          <w:lang w:val="en-US" w:eastAsia="zh-CN" w:bidi="ar-SA"/>
        </w:rPr>
      </w:pPr>
      <w:r>
        <w:rPr>
          <w:rFonts w:hint="eastAsia" w:ascii="宋体" w:hAnsi="宋体" w:eastAsia="宋体" w:cs="宋体"/>
          <w:sz w:val="24"/>
          <w:szCs w:val="24"/>
        </w:rPr>
        <w:t>定期检查运行情况，服务或功能出错时进行及时纠正</w:t>
      </w:r>
    </w:p>
    <w:p w14:paraId="3F10CC93">
      <w:pPr>
        <w:pStyle w:val="10"/>
        <w:spacing w:before="156" w:beforeLines="50" w:after="156" w:afterLines="50" w:line="360" w:lineRule="auto"/>
        <w:rPr>
          <w:rFonts w:hint="eastAsia" w:ascii="宋体" w:hAnsi="宋体" w:eastAsia="宋体"/>
          <w:b/>
          <w:sz w:val="24"/>
          <w:szCs w:val="24"/>
        </w:rPr>
      </w:pPr>
    </w:p>
    <w:tbl>
      <w:tblPr>
        <w:tblStyle w:val="6"/>
        <w:tblW w:w="82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296"/>
        <w:gridCol w:w="1307"/>
        <w:gridCol w:w="5695"/>
      </w:tblGrid>
      <w:tr w14:paraId="1BD9D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90" w:hRule="atLeast"/>
          <w:jc w:val="center"/>
        </w:trPr>
        <w:tc>
          <w:tcPr>
            <w:tcW w:w="1296" w:type="dxa"/>
            <w:shd w:val="clear" w:color="auto" w:fill="auto"/>
            <w:vAlign w:val="top"/>
          </w:tcPr>
          <w:p w14:paraId="5B17DA0E">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编号</w:t>
            </w:r>
          </w:p>
        </w:tc>
        <w:tc>
          <w:tcPr>
            <w:tcW w:w="1307" w:type="dxa"/>
            <w:shd w:val="clear" w:color="auto" w:fill="auto"/>
            <w:vAlign w:val="top"/>
          </w:tcPr>
          <w:p w14:paraId="14D3081D">
            <w:pPr>
              <w:keepNext w:val="0"/>
              <w:keepLines w:val="0"/>
              <w:widowControl/>
              <w:suppressLineNumbers w:val="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模块类别</w:t>
            </w:r>
          </w:p>
        </w:tc>
        <w:tc>
          <w:tcPr>
            <w:tcW w:w="5695" w:type="dxa"/>
            <w:shd w:val="clear" w:color="auto" w:fill="auto"/>
            <w:vAlign w:val="top"/>
          </w:tcPr>
          <w:p w14:paraId="379DDD5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模块名称</w:t>
            </w:r>
          </w:p>
        </w:tc>
      </w:tr>
      <w:tr w14:paraId="2412A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96" w:type="dxa"/>
            <w:shd w:val="clear" w:color="auto" w:fill="auto"/>
            <w:vAlign w:val="top"/>
          </w:tcPr>
          <w:p w14:paraId="157B5D0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w:t>
            </w:r>
          </w:p>
        </w:tc>
        <w:tc>
          <w:tcPr>
            <w:tcW w:w="1307" w:type="dxa"/>
            <w:vMerge w:val="restart"/>
            <w:shd w:val="clear" w:color="auto" w:fill="auto"/>
            <w:vAlign w:val="center"/>
          </w:tcPr>
          <w:p w14:paraId="75C2713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信息集成平台</w:t>
            </w:r>
          </w:p>
        </w:tc>
        <w:tc>
          <w:tcPr>
            <w:tcW w:w="5695" w:type="dxa"/>
            <w:shd w:val="clear" w:color="auto" w:fill="auto"/>
            <w:vAlign w:val="top"/>
          </w:tcPr>
          <w:p w14:paraId="3359D1A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信息集成引擎</w:t>
            </w:r>
          </w:p>
        </w:tc>
      </w:tr>
      <w:tr w14:paraId="04E0A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3D5B796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w:t>
            </w:r>
          </w:p>
        </w:tc>
        <w:tc>
          <w:tcPr>
            <w:tcW w:w="1307" w:type="dxa"/>
            <w:vMerge w:val="continue"/>
            <w:shd w:val="clear" w:color="auto" w:fill="auto"/>
            <w:vAlign w:val="center"/>
          </w:tcPr>
          <w:p w14:paraId="1AC925D8">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4B77EB8C">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集成平台管理</w:t>
            </w:r>
          </w:p>
        </w:tc>
      </w:tr>
      <w:tr w14:paraId="3739A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ACD37D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w:t>
            </w:r>
          </w:p>
        </w:tc>
        <w:tc>
          <w:tcPr>
            <w:tcW w:w="1307" w:type="dxa"/>
            <w:vMerge w:val="continue"/>
            <w:shd w:val="clear" w:color="auto" w:fill="auto"/>
            <w:vAlign w:val="center"/>
          </w:tcPr>
          <w:p w14:paraId="0254B7CE">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E6DAB8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接入与服务支持</w:t>
            </w:r>
          </w:p>
        </w:tc>
      </w:tr>
      <w:tr w14:paraId="044B4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29A4AAA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w:t>
            </w:r>
          </w:p>
        </w:tc>
        <w:tc>
          <w:tcPr>
            <w:tcW w:w="1307" w:type="dxa"/>
            <w:vMerge w:val="continue"/>
            <w:shd w:val="clear" w:color="auto" w:fill="auto"/>
            <w:vAlign w:val="center"/>
          </w:tcPr>
          <w:p w14:paraId="29D2F1BB">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15492B1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集成平台监控</w:t>
            </w:r>
          </w:p>
        </w:tc>
      </w:tr>
      <w:tr w14:paraId="5969EC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4AF0D4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w:t>
            </w:r>
          </w:p>
        </w:tc>
        <w:tc>
          <w:tcPr>
            <w:tcW w:w="1307" w:type="dxa"/>
            <w:vMerge w:val="continue"/>
            <w:shd w:val="clear" w:color="auto" w:fill="auto"/>
            <w:vAlign w:val="center"/>
          </w:tcPr>
          <w:p w14:paraId="4CAD812D">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D00B490">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主数据管理系统</w:t>
            </w:r>
          </w:p>
        </w:tc>
      </w:tr>
      <w:tr w14:paraId="56F9F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EEEDB5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w:t>
            </w:r>
          </w:p>
        </w:tc>
        <w:tc>
          <w:tcPr>
            <w:tcW w:w="1307" w:type="dxa"/>
            <w:vMerge w:val="continue"/>
            <w:shd w:val="clear" w:color="auto" w:fill="auto"/>
            <w:vAlign w:val="center"/>
          </w:tcPr>
          <w:p w14:paraId="08DA10C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AA5E6A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患者主索引系统</w:t>
            </w:r>
          </w:p>
        </w:tc>
      </w:tr>
      <w:tr w14:paraId="756C37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96" w:type="dxa"/>
            <w:shd w:val="clear" w:color="auto" w:fill="auto"/>
            <w:vAlign w:val="top"/>
          </w:tcPr>
          <w:p w14:paraId="5B44112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w:t>
            </w:r>
          </w:p>
        </w:tc>
        <w:tc>
          <w:tcPr>
            <w:tcW w:w="1307" w:type="dxa"/>
            <w:vMerge w:val="continue"/>
            <w:shd w:val="clear" w:color="auto" w:fill="auto"/>
            <w:vAlign w:val="center"/>
          </w:tcPr>
          <w:p w14:paraId="1F5CDE5F">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C2FF64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统一身份认证系统（门户）</w:t>
            </w:r>
          </w:p>
        </w:tc>
      </w:tr>
      <w:tr w14:paraId="672F8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96" w:type="dxa"/>
            <w:shd w:val="clear" w:color="auto" w:fill="auto"/>
            <w:vAlign w:val="top"/>
          </w:tcPr>
          <w:p w14:paraId="22DE7EE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8</w:t>
            </w:r>
          </w:p>
        </w:tc>
        <w:tc>
          <w:tcPr>
            <w:tcW w:w="1307" w:type="dxa"/>
            <w:vMerge w:val="continue"/>
            <w:shd w:val="clear" w:color="auto" w:fill="auto"/>
            <w:vAlign w:val="center"/>
          </w:tcPr>
          <w:p w14:paraId="01A6BFDB">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3F8E68C">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互联互通标准化</w:t>
            </w:r>
          </w:p>
        </w:tc>
      </w:tr>
      <w:tr w14:paraId="58A53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296" w:type="dxa"/>
            <w:shd w:val="clear" w:color="auto" w:fill="auto"/>
            <w:vAlign w:val="top"/>
          </w:tcPr>
          <w:p w14:paraId="3998F52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9</w:t>
            </w:r>
          </w:p>
        </w:tc>
        <w:tc>
          <w:tcPr>
            <w:tcW w:w="1307" w:type="dxa"/>
            <w:vMerge w:val="restart"/>
            <w:shd w:val="clear" w:color="auto" w:fill="auto"/>
            <w:vAlign w:val="center"/>
          </w:tcPr>
          <w:p w14:paraId="75E7CA6E">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数据中心建设</w:t>
            </w:r>
          </w:p>
        </w:tc>
        <w:tc>
          <w:tcPr>
            <w:tcW w:w="5695" w:type="dxa"/>
            <w:shd w:val="clear" w:color="auto" w:fill="auto"/>
            <w:vAlign w:val="top"/>
          </w:tcPr>
          <w:p w14:paraId="70EA60C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临床数据中心</w:t>
            </w:r>
          </w:p>
        </w:tc>
      </w:tr>
      <w:tr w14:paraId="47C8C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2FF8897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10</w:t>
            </w:r>
          </w:p>
        </w:tc>
        <w:tc>
          <w:tcPr>
            <w:tcW w:w="1307" w:type="dxa"/>
            <w:vMerge w:val="continue"/>
            <w:shd w:val="clear" w:color="auto" w:fill="auto"/>
            <w:vAlign w:val="center"/>
          </w:tcPr>
          <w:p w14:paraId="6220D4AC">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91EC5F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运营数据中心</w:t>
            </w:r>
          </w:p>
        </w:tc>
      </w:tr>
      <w:tr w14:paraId="4458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49A465D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11</w:t>
            </w:r>
          </w:p>
        </w:tc>
        <w:tc>
          <w:tcPr>
            <w:tcW w:w="1307" w:type="dxa"/>
            <w:vMerge w:val="continue"/>
            <w:shd w:val="clear" w:color="auto" w:fill="auto"/>
            <w:vAlign w:val="center"/>
          </w:tcPr>
          <w:p w14:paraId="0D2680F9">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DE06607">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对外数据服务</w:t>
            </w:r>
          </w:p>
        </w:tc>
      </w:tr>
      <w:tr w14:paraId="78767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296" w:type="dxa"/>
            <w:shd w:val="clear" w:color="auto" w:fill="auto"/>
            <w:vAlign w:val="top"/>
          </w:tcPr>
          <w:p w14:paraId="057A100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12</w:t>
            </w:r>
          </w:p>
        </w:tc>
        <w:tc>
          <w:tcPr>
            <w:tcW w:w="1307" w:type="dxa"/>
            <w:vMerge w:val="restart"/>
            <w:shd w:val="clear" w:color="auto" w:fill="auto"/>
            <w:vAlign w:val="center"/>
          </w:tcPr>
          <w:p w14:paraId="6794A191">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数据中心应用系统</w:t>
            </w:r>
          </w:p>
        </w:tc>
        <w:tc>
          <w:tcPr>
            <w:tcW w:w="5695" w:type="dxa"/>
            <w:shd w:val="clear" w:color="auto" w:fill="auto"/>
            <w:vAlign w:val="top"/>
          </w:tcPr>
          <w:p w14:paraId="1B8F88B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商业智能引擎BI</w:t>
            </w:r>
          </w:p>
        </w:tc>
      </w:tr>
      <w:tr w14:paraId="188B5C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22DA34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13</w:t>
            </w:r>
          </w:p>
        </w:tc>
        <w:tc>
          <w:tcPr>
            <w:tcW w:w="1307" w:type="dxa"/>
            <w:vMerge w:val="continue"/>
            <w:shd w:val="clear" w:color="auto" w:fill="auto"/>
            <w:vAlign w:val="center"/>
          </w:tcPr>
          <w:p w14:paraId="48D0246D">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58DAE6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医院数据运营决策分析系统</w:t>
            </w:r>
          </w:p>
        </w:tc>
      </w:tr>
      <w:tr w14:paraId="0B9EA6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5874412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14</w:t>
            </w:r>
          </w:p>
        </w:tc>
        <w:tc>
          <w:tcPr>
            <w:tcW w:w="1307" w:type="dxa"/>
            <w:vMerge w:val="continue"/>
            <w:shd w:val="clear" w:color="auto" w:fill="auto"/>
            <w:vAlign w:val="center"/>
          </w:tcPr>
          <w:p w14:paraId="3B0CC856">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8E9B5C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移动 BI 系统</w:t>
            </w:r>
          </w:p>
        </w:tc>
      </w:tr>
      <w:tr w14:paraId="187DF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37FBA3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15</w:t>
            </w:r>
          </w:p>
        </w:tc>
        <w:tc>
          <w:tcPr>
            <w:tcW w:w="1307" w:type="dxa"/>
            <w:vMerge w:val="continue"/>
            <w:shd w:val="clear" w:color="auto" w:fill="auto"/>
            <w:vAlign w:val="center"/>
          </w:tcPr>
          <w:p w14:paraId="3623E2E4">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7AC538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临床辅助决策系统 CDSS</w:t>
            </w:r>
          </w:p>
        </w:tc>
      </w:tr>
      <w:tr w14:paraId="1791B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84CF69C">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16</w:t>
            </w:r>
          </w:p>
        </w:tc>
        <w:tc>
          <w:tcPr>
            <w:tcW w:w="1307" w:type="dxa"/>
            <w:vMerge w:val="continue"/>
            <w:shd w:val="clear" w:color="auto" w:fill="auto"/>
            <w:vAlign w:val="center"/>
          </w:tcPr>
          <w:p w14:paraId="26A62307">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18A0AC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质量指标管理系统</w:t>
            </w:r>
          </w:p>
        </w:tc>
      </w:tr>
      <w:tr w14:paraId="46478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4ED5B070">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17</w:t>
            </w:r>
          </w:p>
        </w:tc>
        <w:tc>
          <w:tcPr>
            <w:tcW w:w="1307" w:type="dxa"/>
            <w:vMerge w:val="continue"/>
            <w:shd w:val="clear" w:color="auto" w:fill="auto"/>
            <w:vAlign w:val="center"/>
          </w:tcPr>
          <w:p w14:paraId="6CA3982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1D1EB4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患者集成视图</w:t>
            </w:r>
          </w:p>
        </w:tc>
      </w:tr>
      <w:tr w14:paraId="03AB3F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1296" w:type="dxa"/>
            <w:shd w:val="clear" w:color="auto" w:fill="auto"/>
            <w:vAlign w:val="top"/>
          </w:tcPr>
          <w:p w14:paraId="0E38866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18</w:t>
            </w:r>
          </w:p>
        </w:tc>
        <w:tc>
          <w:tcPr>
            <w:tcW w:w="1307" w:type="dxa"/>
            <w:vMerge w:val="restart"/>
            <w:shd w:val="clear" w:color="auto" w:fill="auto"/>
            <w:vAlign w:val="center"/>
          </w:tcPr>
          <w:p w14:paraId="47075E4A">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医院管理信息系统HIS</w:t>
            </w:r>
          </w:p>
        </w:tc>
        <w:tc>
          <w:tcPr>
            <w:tcW w:w="5695" w:type="dxa"/>
            <w:shd w:val="clear" w:color="auto" w:fill="auto"/>
            <w:vAlign w:val="top"/>
          </w:tcPr>
          <w:p w14:paraId="54D278E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院前急救系统</w:t>
            </w:r>
          </w:p>
        </w:tc>
      </w:tr>
      <w:tr w14:paraId="5406D4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5DD4ADB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19</w:t>
            </w:r>
          </w:p>
        </w:tc>
        <w:tc>
          <w:tcPr>
            <w:tcW w:w="1307" w:type="dxa"/>
            <w:vMerge w:val="continue"/>
            <w:shd w:val="clear" w:color="auto" w:fill="auto"/>
            <w:vAlign w:val="center"/>
          </w:tcPr>
          <w:p w14:paraId="6C2DC0A5">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5E4CE4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排队叫号系统</w:t>
            </w:r>
          </w:p>
        </w:tc>
      </w:tr>
      <w:tr w14:paraId="0719CF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5F478D9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20</w:t>
            </w:r>
          </w:p>
        </w:tc>
        <w:tc>
          <w:tcPr>
            <w:tcW w:w="1307" w:type="dxa"/>
            <w:vMerge w:val="continue"/>
            <w:shd w:val="clear" w:color="auto" w:fill="auto"/>
            <w:vAlign w:val="center"/>
          </w:tcPr>
          <w:p w14:paraId="2D52F63E">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4783159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门急诊挂号系统</w:t>
            </w:r>
          </w:p>
        </w:tc>
      </w:tr>
      <w:tr w14:paraId="2B905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393EDA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21</w:t>
            </w:r>
          </w:p>
        </w:tc>
        <w:tc>
          <w:tcPr>
            <w:tcW w:w="1307" w:type="dxa"/>
            <w:vMerge w:val="continue"/>
            <w:shd w:val="clear" w:color="auto" w:fill="auto"/>
            <w:vAlign w:val="center"/>
          </w:tcPr>
          <w:p w14:paraId="6225AC5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B6EFFA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门急诊收费系统</w:t>
            </w:r>
          </w:p>
        </w:tc>
      </w:tr>
      <w:tr w14:paraId="76633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0A9B89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22</w:t>
            </w:r>
          </w:p>
        </w:tc>
        <w:tc>
          <w:tcPr>
            <w:tcW w:w="1307" w:type="dxa"/>
            <w:vMerge w:val="continue"/>
            <w:shd w:val="clear" w:color="auto" w:fill="auto"/>
            <w:vAlign w:val="center"/>
          </w:tcPr>
          <w:p w14:paraId="14487919">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AC9639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门诊分诊排队系统</w:t>
            </w:r>
          </w:p>
        </w:tc>
      </w:tr>
      <w:tr w14:paraId="0A5D0B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A8E2B6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23</w:t>
            </w:r>
          </w:p>
        </w:tc>
        <w:tc>
          <w:tcPr>
            <w:tcW w:w="1307" w:type="dxa"/>
            <w:vMerge w:val="continue"/>
            <w:shd w:val="clear" w:color="auto" w:fill="auto"/>
            <w:vAlign w:val="center"/>
          </w:tcPr>
          <w:p w14:paraId="32A1990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C273B7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住院病人入出转管理系统</w:t>
            </w:r>
          </w:p>
        </w:tc>
      </w:tr>
      <w:tr w14:paraId="37EE3B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289233E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24</w:t>
            </w:r>
          </w:p>
        </w:tc>
        <w:tc>
          <w:tcPr>
            <w:tcW w:w="1307" w:type="dxa"/>
            <w:vMerge w:val="continue"/>
            <w:shd w:val="clear" w:color="auto" w:fill="auto"/>
            <w:vAlign w:val="center"/>
          </w:tcPr>
          <w:p w14:paraId="42FC34E5">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828157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住院收费系统</w:t>
            </w:r>
          </w:p>
        </w:tc>
      </w:tr>
      <w:tr w14:paraId="2BF755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285EF9A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25</w:t>
            </w:r>
          </w:p>
        </w:tc>
        <w:tc>
          <w:tcPr>
            <w:tcW w:w="1307" w:type="dxa"/>
            <w:vMerge w:val="continue"/>
            <w:shd w:val="clear" w:color="auto" w:fill="auto"/>
            <w:vAlign w:val="center"/>
          </w:tcPr>
          <w:p w14:paraId="64B94E72">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1D03692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医技收费</w:t>
            </w:r>
          </w:p>
        </w:tc>
      </w:tr>
      <w:tr w14:paraId="43C28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9E6F22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26</w:t>
            </w:r>
          </w:p>
        </w:tc>
        <w:tc>
          <w:tcPr>
            <w:tcW w:w="1307" w:type="dxa"/>
            <w:vMerge w:val="continue"/>
            <w:shd w:val="clear" w:color="auto" w:fill="auto"/>
            <w:vAlign w:val="center"/>
          </w:tcPr>
          <w:p w14:paraId="08DD1B95">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E37C63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门急诊药房管理系统</w:t>
            </w:r>
          </w:p>
        </w:tc>
      </w:tr>
      <w:tr w14:paraId="565AB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00A310D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27</w:t>
            </w:r>
          </w:p>
        </w:tc>
        <w:tc>
          <w:tcPr>
            <w:tcW w:w="1307" w:type="dxa"/>
            <w:vMerge w:val="continue"/>
            <w:shd w:val="clear" w:color="auto" w:fill="auto"/>
            <w:vAlign w:val="center"/>
          </w:tcPr>
          <w:p w14:paraId="09E5EA1E">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1596CE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中药治未病信息系统</w:t>
            </w:r>
          </w:p>
        </w:tc>
      </w:tr>
      <w:tr w14:paraId="10C8B3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3690F02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28</w:t>
            </w:r>
          </w:p>
        </w:tc>
        <w:tc>
          <w:tcPr>
            <w:tcW w:w="1307" w:type="dxa"/>
            <w:vMerge w:val="continue"/>
            <w:shd w:val="clear" w:color="auto" w:fill="auto"/>
            <w:vAlign w:val="center"/>
          </w:tcPr>
          <w:p w14:paraId="1C34492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16D136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中药房管理系统</w:t>
            </w:r>
          </w:p>
        </w:tc>
      </w:tr>
      <w:tr w14:paraId="583E8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FE6BB2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29</w:t>
            </w:r>
          </w:p>
        </w:tc>
        <w:tc>
          <w:tcPr>
            <w:tcW w:w="1307" w:type="dxa"/>
            <w:vMerge w:val="continue"/>
            <w:shd w:val="clear" w:color="auto" w:fill="auto"/>
            <w:vAlign w:val="center"/>
          </w:tcPr>
          <w:p w14:paraId="27B5B715">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AABD61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中药库管理系统</w:t>
            </w:r>
          </w:p>
        </w:tc>
      </w:tr>
      <w:tr w14:paraId="665C8F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5582125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30</w:t>
            </w:r>
          </w:p>
        </w:tc>
        <w:tc>
          <w:tcPr>
            <w:tcW w:w="1307" w:type="dxa"/>
            <w:vMerge w:val="continue"/>
            <w:shd w:val="clear" w:color="auto" w:fill="auto"/>
            <w:vAlign w:val="center"/>
          </w:tcPr>
          <w:p w14:paraId="1ABEB680">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123C33DC">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住院药房管理系统</w:t>
            </w:r>
          </w:p>
        </w:tc>
      </w:tr>
      <w:tr w14:paraId="01515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2487B3E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31</w:t>
            </w:r>
          </w:p>
        </w:tc>
        <w:tc>
          <w:tcPr>
            <w:tcW w:w="1307" w:type="dxa"/>
            <w:vMerge w:val="continue"/>
            <w:shd w:val="clear" w:color="auto" w:fill="auto"/>
            <w:vAlign w:val="center"/>
          </w:tcPr>
          <w:p w14:paraId="6E172DC8">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52516F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药库管理系统</w:t>
            </w:r>
          </w:p>
        </w:tc>
      </w:tr>
      <w:tr w14:paraId="3297D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88EB30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32</w:t>
            </w:r>
          </w:p>
        </w:tc>
        <w:tc>
          <w:tcPr>
            <w:tcW w:w="1307" w:type="dxa"/>
            <w:vMerge w:val="continue"/>
            <w:shd w:val="clear" w:color="auto" w:fill="auto"/>
            <w:vAlign w:val="center"/>
          </w:tcPr>
          <w:p w14:paraId="511D0E77">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C4B50B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报表定制</w:t>
            </w:r>
          </w:p>
        </w:tc>
      </w:tr>
      <w:tr w14:paraId="476D6D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4E1820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33</w:t>
            </w:r>
          </w:p>
        </w:tc>
        <w:tc>
          <w:tcPr>
            <w:tcW w:w="1307" w:type="dxa"/>
            <w:vMerge w:val="continue"/>
            <w:shd w:val="clear" w:color="auto" w:fill="auto"/>
            <w:vAlign w:val="center"/>
          </w:tcPr>
          <w:p w14:paraId="1CA10C56">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EEEDA8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急诊分诊管理系统</w:t>
            </w:r>
          </w:p>
        </w:tc>
      </w:tr>
      <w:tr w14:paraId="7B972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2F080AB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34</w:t>
            </w:r>
          </w:p>
        </w:tc>
        <w:tc>
          <w:tcPr>
            <w:tcW w:w="1307" w:type="dxa"/>
            <w:vMerge w:val="continue"/>
            <w:shd w:val="clear" w:color="auto" w:fill="auto"/>
            <w:vAlign w:val="center"/>
          </w:tcPr>
          <w:p w14:paraId="1EFD6296">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852509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急诊留观管理系统</w:t>
            </w:r>
          </w:p>
        </w:tc>
      </w:tr>
      <w:tr w14:paraId="5782A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229466E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35</w:t>
            </w:r>
          </w:p>
        </w:tc>
        <w:tc>
          <w:tcPr>
            <w:tcW w:w="1307" w:type="dxa"/>
            <w:vMerge w:val="continue"/>
            <w:shd w:val="clear" w:color="auto" w:fill="auto"/>
            <w:vAlign w:val="center"/>
          </w:tcPr>
          <w:p w14:paraId="544D809C">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B02FD87">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门急诊输液管理系统</w:t>
            </w:r>
          </w:p>
        </w:tc>
      </w:tr>
      <w:tr w14:paraId="76D12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1296" w:type="dxa"/>
            <w:shd w:val="clear" w:color="auto" w:fill="auto"/>
            <w:vAlign w:val="top"/>
          </w:tcPr>
          <w:p w14:paraId="088AA0E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36</w:t>
            </w:r>
          </w:p>
        </w:tc>
        <w:tc>
          <w:tcPr>
            <w:tcW w:w="1307" w:type="dxa"/>
            <w:vMerge w:val="restart"/>
            <w:shd w:val="clear" w:color="auto" w:fill="auto"/>
            <w:vAlign w:val="center"/>
          </w:tcPr>
          <w:p w14:paraId="470CA31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临床医护信息系统</w:t>
            </w:r>
          </w:p>
        </w:tc>
        <w:tc>
          <w:tcPr>
            <w:tcW w:w="5695" w:type="dxa"/>
            <w:shd w:val="clear" w:color="auto" w:fill="auto"/>
            <w:vAlign w:val="top"/>
          </w:tcPr>
          <w:p w14:paraId="71ACA66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门诊电子病历系统</w:t>
            </w:r>
          </w:p>
        </w:tc>
      </w:tr>
      <w:tr w14:paraId="61816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4C5C3D5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37</w:t>
            </w:r>
          </w:p>
        </w:tc>
        <w:tc>
          <w:tcPr>
            <w:tcW w:w="1307" w:type="dxa"/>
            <w:vMerge w:val="continue"/>
            <w:shd w:val="clear" w:color="auto" w:fill="auto"/>
            <w:vAlign w:val="center"/>
          </w:tcPr>
          <w:p w14:paraId="7A5D182E">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7C4B0F0">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住院电子病历系统</w:t>
            </w:r>
          </w:p>
        </w:tc>
      </w:tr>
      <w:tr w14:paraId="0E157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49F45F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38</w:t>
            </w:r>
          </w:p>
        </w:tc>
        <w:tc>
          <w:tcPr>
            <w:tcW w:w="1307" w:type="dxa"/>
            <w:vMerge w:val="continue"/>
            <w:shd w:val="clear" w:color="auto" w:fill="auto"/>
            <w:vAlign w:val="center"/>
          </w:tcPr>
          <w:p w14:paraId="1E72D141">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14485D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住院护理病历系统</w:t>
            </w:r>
          </w:p>
        </w:tc>
      </w:tr>
      <w:tr w14:paraId="37301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06F3880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39</w:t>
            </w:r>
          </w:p>
        </w:tc>
        <w:tc>
          <w:tcPr>
            <w:tcW w:w="1307" w:type="dxa"/>
            <w:vMerge w:val="continue"/>
            <w:shd w:val="clear" w:color="auto" w:fill="auto"/>
            <w:vAlign w:val="center"/>
          </w:tcPr>
          <w:p w14:paraId="2256C0EA">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7442B9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门急诊医生工作平台</w:t>
            </w:r>
          </w:p>
        </w:tc>
      </w:tr>
      <w:tr w14:paraId="185319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11AC26E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40</w:t>
            </w:r>
          </w:p>
        </w:tc>
        <w:tc>
          <w:tcPr>
            <w:tcW w:w="1307" w:type="dxa"/>
            <w:vMerge w:val="continue"/>
            <w:shd w:val="clear" w:color="auto" w:fill="auto"/>
            <w:vAlign w:val="center"/>
          </w:tcPr>
          <w:p w14:paraId="42E2192C">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867118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住院医生工作平台</w:t>
            </w:r>
          </w:p>
        </w:tc>
      </w:tr>
      <w:tr w14:paraId="1ACDE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2B272D8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41</w:t>
            </w:r>
          </w:p>
        </w:tc>
        <w:tc>
          <w:tcPr>
            <w:tcW w:w="1307" w:type="dxa"/>
            <w:vMerge w:val="continue"/>
            <w:shd w:val="clear" w:color="auto" w:fill="auto"/>
            <w:vAlign w:val="center"/>
          </w:tcPr>
          <w:p w14:paraId="479A61A2">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83F688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住院护士工作站</w:t>
            </w:r>
          </w:p>
        </w:tc>
      </w:tr>
      <w:tr w14:paraId="7A418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DCA8E0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42</w:t>
            </w:r>
          </w:p>
        </w:tc>
        <w:tc>
          <w:tcPr>
            <w:tcW w:w="1307" w:type="dxa"/>
            <w:vMerge w:val="continue"/>
            <w:shd w:val="clear" w:color="auto" w:fill="auto"/>
            <w:vAlign w:val="center"/>
          </w:tcPr>
          <w:p w14:paraId="5D59B057">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B7F34E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病历质控系统</w:t>
            </w:r>
          </w:p>
        </w:tc>
      </w:tr>
      <w:tr w14:paraId="0F4C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45081C6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43</w:t>
            </w:r>
          </w:p>
        </w:tc>
        <w:tc>
          <w:tcPr>
            <w:tcW w:w="1307" w:type="dxa"/>
            <w:vMerge w:val="continue"/>
            <w:shd w:val="clear" w:color="auto" w:fill="auto"/>
            <w:vAlign w:val="center"/>
          </w:tcPr>
          <w:p w14:paraId="3829E50C">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4331DF0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临床路径系统</w:t>
            </w:r>
          </w:p>
        </w:tc>
      </w:tr>
      <w:tr w14:paraId="47FA3D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7E791E4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44</w:t>
            </w:r>
          </w:p>
        </w:tc>
        <w:tc>
          <w:tcPr>
            <w:tcW w:w="1307" w:type="dxa"/>
            <w:vMerge w:val="continue"/>
            <w:shd w:val="clear" w:color="auto" w:fill="auto"/>
            <w:vAlign w:val="center"/>
          </w:tcPr>
          <w:p w14:paraId="604DDE5F">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3EDCDE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申请单管理系统</w:t>
            </w:r>
          </w:p>
        </w:tc>
      </w:tr>
      <w:tr w14:paraId="10F8C3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EAD2A5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45</w:t>
            </w:r>
          </w:p>
        </w:tc>
        <w:tc>
          <w:tcPr>
            <w:tcW w:w="1307" w:type="dxa"/>
            <w:vMerge w:val="continue"/>
            <w:shd w:val="clear" w:color="auto" w:fill="auto"/>
            <w:vAlign w:val="center"/>
          </w:tcPr>
          <w:p w14:paraId="25EEAD6C">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805641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移动护理</w:t>
            </w:r>
          </w:p>
        </w:tc>
      </w:tr>
      <w:tr w14:paraId="6A1F8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1296" w:type="dxa"/>
            <w:shd w:val="clear" w:color="auto" w:fill="auto"/>
            <w:vAlign w:val="top"/>
          </w:tcPr>
          <w:p w14:paraId="2E5992F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46</w:t>
            </w:r>
          </w:p>
        </w:tc>
        <w:tc>
          <w:tcPr>
            <w:tcW w:w="1307" w:type="dxa"/>
            <w:vMerge w:val="restart"/>
            <w:shd w:val="clear" w:color="auto" w:fill="auto"/>
            <w:vAlign w:val="center"/>
          </w:tcPr>
          <w:p w14:paraId="4552B3D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医技科室</w:t>
            </w:r>
          </w:p>
        </w:tc>
        <w:tc>
          <w:tcPr>
            <w:tcW w:w="5695" w:type="dxa"/>
            <w:shd w:val="clear" w:color="auto" w:fill="auto"/>
            <w:vAlign w:val="top"/>
          </w:tcPr>
          <w:p w14:paraId="2C324D5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医学检验系统（LIS）</w:t>
            </w:r>
          </w:p>
        </w:tc>
      </w:tr>
      <w:tr w14:paraId="716888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2DE783A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47</w:t>
            </w:r>
          </w:p>
        </w:tc>
        <w:tc>
          <w:tcPr>
            <w:tcW w:w="1307" w:type="dxa"/>
            <w:vMerge w:val="continue"/>
            <w:shd w:val="clear" w:color="auto" w:fill="auto"/>
            <w:vAlign w:val="center"/>
          </w:tcPr>
          <w:p w14:paraId="5F648951">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3CF06A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体检系统</w:t>
            </w:r>
          </w:p>
        </w:tc>
      </w:tr>
      <w:tr w14:paraId="21143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2" w:hRule="atLeast"/>
          <w:jc w:val="center"/>
        </w:trPr>
        <w:tc>
          <w:tcPr>
            <w:tcW w:w="1296" w:type="dxa"/>
            <w:shd w:val="clear" w:color="auto" w:fill="auto"/>
            <w:vAlign w:val="top"/>
          </w:tcPr>
          <w:p w14:paraId="4B82827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48</w:t>
            </w:r>
          </w:p>
        </w:tc>
        <w:tc>
          <w:tcPr>
            <w:tcW w:w="1307" w:type="dxa"/>
            <w:vMerge w:val="continue"/>
            <w:shd w:val="clear" w:color="auto" w:fill="auto"/>
            <w:vAlign w:val="center"/>
          </w:tcPr>
          <w:p w14:paraId="1420FFE4">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C86A75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放射科信息系统（PACS/RIS）</w:t>
            </w:r>
          </w:p>
        </w:tc>
      </w:tr>
      <w:tr w14:paraId="033E74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647FD120">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49</w:t>
            </w:r>
          </w:p>
        </w:tc>
        <w:tc>
          <w:tcPr>
            <w:tcW w:w="1307" w:type="dxa"/>
            <w:vMerge w:val="continue"/>
            <w:shd w:val="clear" w:color="auto" w:fill="auto"/>
            <w:vAlign w:val="center"/>
          </w:tcPr>
          <w:p w14:paraId="428387CD">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A9D4F4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超声信息系统（UIS）</w:t>
            </w:r>
          </w:p>
        </w:tc>
      </w:tr>
      <w:tr w14:paraId="2A319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11455D8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50</w:t>
            </w:r>
          </w:p>
        </w:tc>
        <w:tc>
          <w:tcPr>
            <w:tcW w:w="1307" w:type="dxa"/>
            <w:vMerge w:val="continue"/>
            <w:shd w:val="clear" w:color="auto" w:fill="auto"/>
            <w:vAlign w:val="center"/>
          </w:tcPr>
          <w:p w14:paraId="6AAB67D1">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FBC858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内镜信息系统（EIS）</w:t>
            </w:r>
          </w:p>
        </w:tc>
      </w:tr>
      <w:tr w14:paraId="249DA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25A7A310">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51</w:t>
            </w:r>
          </w:p>
        </w:tc>
        <w:tc>
          <w:tcPr>
            <w:tcW w:w="1307" w:type="dxa"/>
            <w:vMerge w:val="continue"/>
            <w:shd w:val="clear" w:color="auto" w:fill="auto"/>
            <w:vAlign w:val="center"/>
          </w:tcPr>
          <w:p w14:paraId="3CD13939">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4EA4C6F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病理管理系统</w:t>
            </w:r>
          </w:p>
        </w:tc>
      </w:tr>
      <w:tr w14:paraId="74AEFB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8324B1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52</w:t>
            </w:r>
          </w:p>
        </w:tc>
        <w:tc>
          <w:tcPr>
            <w:tcW w:w="1307" w:type="dxa"/>
            <w:vMerge w:val="continue"/>
            <w:shd w:val="clear" w:color="auto" w:fill="auto"/>
            <w:vAlign w:val="center"/>
          </w:tcPr>
          <w:p w14:paraId="5789283D">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478667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电生理管理系统</w:t>
            </w:r>
          </w:p>
        </w:tc>
      </w:tr>
      <w:tr w14:paraId="5A1FC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E67116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53</w:t>
            </w:r>
          </w:p>
        </w:tc>
        <w:tc>
          <w:tcPr>
            <w:tcW w:w="1307" w:type="dxa"/>
            <w:vMerge w:val="continue"/>
            <w:shd w:val="clear" w:color="auto" w:fill="auto"/>
            <w:vAlign w:val="center"/>
          </w:tcPr>
          <w:p w14:paraId="3C8F7B87">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11FA3AC0">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住院手术管理</w:t>
            </w:r>
          </w:p>
        </w:tc>
      </w:tr>
      <w:tr w14:paraId="4E0BD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9B365E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54</w:t>
            </w:r>
          </w:p>
        </w:tc>
        <w:tc>
          <w:tcPr>
            <w:tcW w:w="1307" w:type="dxa"/>
            <w:vMerge w:val="continue"/>
            <w:shd w:val="clear" w:color="auto" w:fill="auto"/>
            <w:vAlign w:val="center"/>
          </w:tcPr>
          <w:p w14:paraId="038799AE">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FF64B9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手术麻醉系统</w:t>
            </w:r>
          </w:p>
        </w:tc>
      </w:tr>
      <w:tr w14:paraId="05640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07AA66A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55</w:t>
            </w:r>
          </w:p>
        </w:tc>
        <w:tc>
          <w:tcPr>
            <w:tcW w:w="1307" w:type="dxa"/>
            <w:vMerge w:val="continue"/>
            <w:shd w:val="clear" w:color="auto" w:fill="auto"/>
            <w:vAlign w:val="center"/>
          </w:tcPr>
          <w:p w14:paraId="6CEEFF59">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5EDBF4D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重症监护 ICU系统</w:t>
            </w:r>
          </w:p>
        </w:tc>
      </w:tr>
      <w:tr w14:paraId="2F671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5186BF8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56</w:t>
            </w:r>
          </w:p>
        </w:tc>
        <w:tc>
          <w:tcPr>
            <w:tcW w:w="1307" w:type="dxa"/>
            <w:vMerge w:val="continue"/>
            <w:shd w:val="clear" w:color="auto" w:fill="auto"/>
            <w:vAlign w:val="center"/>
          </w:tcPr>
          <w:p w14:paraId="00107371">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E7711D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输血管理系统</w:t>
            </w:r>
          </w:p>
        </w:tc>
      </w:tr>
      <w:tr w14:paraId="254ACA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4F1E493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57</w:t>
            </w:r>
          </w:p>
        </w:tc>
        <w:tc>
          <w:tcPr>
            <w:tcW w:w="1307" w:type="dxa"/>
            <w:vMerge w:val="restart"/>
            <w:shd w:val="clear" w:color="auto" w:fill="auto"/>
            <w:vAlign w:val="center"/>
          </w:tcPr>
          <w:p w14:paraId="6C275DD5">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24E1A30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院感及传染病系统</w:t>
            </w:r>
          </w:p>
        </w:tc>
      </w:tr>
      <w:tr w14:paraId="6BD870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4618520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58</w:t>
            </w:r>
          </w:p>
        </w:tc>
        <w:tc>
          <w:tcPr>
            <w:tcW w:w="1307" w:type="dxa"/>
            <w:vMerge w:val="continue"/>
            <w:shd w:val="clear" w:color="auto" w:fill="auto"/>
            <w:vAlign w:val="center"/>
          </w:tcPr>
          <w:p w14:paraId="17B960E4">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04B3399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病案管理系统</w:t>
            </w:r>
          </w:p>
        </w:tc>
      </w:tr>
      <w:tr w14:paraId="4D80C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E713F7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59</w:t>
            </w:r>
          </w:p>
        </w:tc>
        <w:tc>
          <w:tcPr>
            <w:tcW w:w="1307" w:type="dxa"/>
            <w:vMerge w:val="continue"/>
            <w:shd w:val="clear" w:color="auto" w:fill="auto"/>
            <w:vAlign w:val="center"/>
          </w:tcPr>
          <w:p w14:paraId="261B7546">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27F610D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围手术期管理系统</w:t>
            </w:r>
          </w:p>
        </w:tc>
      </w:tr>
      <w:tr w14:paraId="4B46D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449A8976">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60</w:t>
            </w:r>
          </w:p>
        </w:tc>
        <w:tc>
          <w:tcPr>
            <w:tcW w:w="1307" w:type="dxa"/>
            <w:vMerge w:val="continue"/>
            <w:shd w:val="clear" w:color="auto" w:fill="auto"/>
            <w:vAlign w:val="center"/>
          </w:tcPr>
          <w:p w14:paraId="4BB4AAED">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7A87D9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医护 CA 签名认证系统</w:t>
            </w:r>
          </w:p>
        </w:tc>
      </w:tr>
      <w:tr w14:paraId="7EFB16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8036C0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61</w:t>
            </w:r>
          </w:p>
        </w:tc>
        <w:tc>
          <w:tcPr>
            <w:tcW w:w="1307" w:type="dxa"/>
            <w:vMerge w:val="continue"/>
            <w:shd w:val="clear" w:color="auto" w:fill="auto"/>
            <w:vAlign w:val="center"/>
          </w:tcPr>
          <w:p w14:paraId="59E34B7D">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2711E7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DRGs 疾病诊断分组</w:t>
            </w:r>
          </w:p>
        </w:tc>
      </w:tr>
      <w:tr w14:paraId="6B13C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05A9A17">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62</w:t>
            </w:r>
          </w:p>
        </w:tc>
        <w:tc>
          <w:tcPr>
            <w:tcW w:w="1307" w:type="dxa"/>
            <w:vMerge w:val="continue"/>
            <w:shd w:val="clear" w:color="auto" w:fill="auto"/>
            <w:vAlign w:val="center"/>
          </w:tcPr>
          <w:p w14:paraId="5942AEEF">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D7588B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医保控费系统</w:t>
            </w:r>
          </w:p>
        </w:tc>
      </w:tr>
      <w:tr w14:paraId="088A7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333BAC6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63</w:t>
            </w:r>
          </w:p>
        </w:tc>
        <w:tc>
          <w:tcPr>
            <w:tcW w:w="1307" w:type="dxa"/>
            <w:vMerge w:val="continue"/>
            <w:shd w:val="clear" w:color="auto" w:fill="auto"/>
            <w:vAlign w:val="center"/>
          </w:tcPr>
          <w:p w14:paraId="2A975E20">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DF0518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消毒供应室追溯管理系统</w:t>
            </w:r>
          </w:p>
        </w:tc>
      </w:tr>
      <w:tr w14:paraId="0880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jc w:val="center"/>
        </w:trPr>
        <w:tc>
          <w:tcPr>
            <w:tcW w:w="1296" w:type="dxa"/>
            <w:shd w:val="clear" w:color="auto" w:fill="auto"/>
            <w:vAlign w:val="top"/>
          </w:tcPr>
          <w:p w14:paraId="1CBC0BF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64</w:t>
            </w:r>
          </w:p>
        </w:tc>
        <w:tc>
          <w:tcPr>
            <w:tcW w:w="1307" w:type="dxa"/>
            <w:vMerge w:val="restart"/>
            <w:shd w:val="clear" w:color="auto" w:fill="auto"/>
            <w:vAlign w:val="center"/>
          </w:tcPr>
          <w:p w14:paraId="497559A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临床药事管理系统</w:t>
            </w:r>
          </w:p>
        </w:tc>
        <w:tc>
          <w:tcPr>
            <w:tcW w:w="5695" w:type="dxa"/>
            <w:shd w:val="clear" w:color="auto" w:fill="auto"/>
            <w:vAlign w:val="top"/>
          </w:tcPr>
          <w:p w14:paraId="3147D84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抗菌药物管理系统</w:t>
            </w:r>
          </w:p>
        </w:tc>
      </w:tr>
      <w:tr w14:paraId="41209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E43EFF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65</w:t>
            </w:r>
          </w:p>
        </w:tc>
        <w:tc>
          <w:tcPr>
            <w:tcW w:w="1307" w:type="dxa"/>
            <w:vMerge w:val="continue"/>
            <w:shd w:val="clear" w:color="auto" w:fill="auto"/>
            <w:vAlign w:val="center"/>
          </w:tcPr>
          <w:p w14:paraId="3C22E75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6679F25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临床药师工作站系统</w:t>
            </w:r>
          </w:p>
        </w:tc>
      </w:tr>
      <w:tr w14:paraId="6B3465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E950320">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66</w:t>
            </w:r>
          </w:p>
        </w:tc>
        <w:tc>
          <w:tcPr>
            <w:tcW w:w="1307" w:type="dxa"/>
            <w:vMerge w:val="continue"/>
            <w:shd w:val="clear" w:color="auto" w:fill="auto"/>
            <w:vAlign w:val="center"/>
          </w:tcPr>
          <w:p w14:paraId="1E6BD904">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731D1E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合理用药</w:t>
            </w:r>
          </w:p>
        </w:tc>
      </w:tr>
      <w:tr w14:paraId="081E41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4BC27E6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67</w:t>
            </w:r>
          </w:p>
        </w:tc>
        <w:tc>
          <w:tcPr>
            <w:tcW w:w="1307" w:type="dxa"/>
            <w:vMerge w:val="continue"/>
            <w:shd w:val="clear" w:color="auto" w:fill="auto"/>
            <w:vAlign w:val="center"/>
          </w:tcPr>
          <w:p w14:paraId="06A9B10C">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AFABDF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药师审方系统</w:t>
            </w:r>
          </w:p>
        </w:tc>
      </w:tr>
      <w:tr w14:paraId="2230D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0DDECA4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68</w:t>
            </w:r>
          </w:p>
        </w:tc>
        <w:tc>
          <w:tcPr>
            <w:tcW w:w="1307" w:type="dxa"/>
            <w:vMerge w:val="continue"/>
            <w:shd w:val="clear" w:color="auto" w:fill="auto"/>
            <w:vAlign w:val="center"/>
          </w:tcPr>
          <w:p w14:paraId="0D681CD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31A8ACA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处方点评</w:t>
            </w:r>
          </w:p>
        </w:tc>
      </w:tr>
      <w:tr w14:paraId="5A31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5F35081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69</w:t>
            </w:r>
          </w:p>
        </w:tc>
        <w:tc>
          <w:tcPr>
            <w:tcW w:w="1307" w:type="dxa"/>
            <w:vMerge w:val="continue"/>
            <w:shd w:val="clear" w:color="auto" w:fill="auto"/>
            <w:vAlign w:val="center"/>
          </w:tcPr>
          <w:p w14:paraId="18A61099">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2C15847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阳光用药系统</w:t>
            </w:r>
          </w:p>
        </w:tc>
      </w:tr>
      <w:tr w14:paraId="62F6CE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40" w:hRule="atLeast"/>
          <w:jc w:val="center"/>
        </w:trPr>
        <w:tc>
          <w:tcPr>
            <w:tcW w:w="1296" w:type="dxa"/>
            <w:shd w:val="clear" w:color="auto" w:fill="auto"/>
            <w:vAlign w:val="top"/>
          </w:tcPr>
          <w:p w14:paraId="01F70A28">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70</w:t>
            </w:r>
          </w:p>
        </w:tc>
        <w:tc>
          <w:tcPr>
            <w:tcW w:w="1307" w:type="dxa"/>
            <w:vMerge w:val="restart"/>
            <w:shd w:val="clear" w:color="auto" w:fill="auto"/>
            <w:vAlign w:val="center"/>
          </w:tcPr>
          <w:p w14:paraId="6D22FDC0">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科研教学系统</w:t>
            </w:r>
          </w:p>
        </w:tc>
        <w:tc>
          <w:tcPr>
            <w:tcW w:w="5695" w:type="dxa"/>
            <w:shd w:val="clear" w:color="auto" w:fill="auto"/>
            <w:vAlign w:val="top"/>
          </w:tcPr>
          <w:p w14:paraId="520727F4">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科研信息管理系统</w:t>
            </w:r>
          </w:p>
        </w:tc>
      </w:tr>
      <w:tr w14:paraId="024271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377B471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71</w:t>
            </w:r>
          </w:p>
        </w:tc>
        <w:tc>
          <w:tcPr>
            <w:tcW w:w="1307" w:type="dxa"/>
            <w:vMerge w:val="continue"/>
            <w:shd w:val="clear" w:color="auto" w:fill="auto"/>
            <w:vAlign w:val="center"/>
          </w:tcPr>
          <w:p w14:paraId="2DAA584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93189F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医院教学管理系统</w:t>
            </w:r>
          </w:p>
        </w:tc>
      </w:tr>
      <w:tr w14:paraId="186BB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jc w:val="center"/>
        </w:trPr>
        <w:tc>
          <w:tcPr>
            <w:tcW w:w="1296" w:type="dxa"/>
            <w:shd w:val="clear" w:color="auto" w:fill="auto"/>
            <w:vAlign w:val="top"/>
          </w:tcPr>
          <w:p w14:paraId="20177A4F">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72</w:t>
            </w:r>
          </w:p>
        </w:tc>
        <w:tc>
          <w:tcPr>
            <w:tcW w:w="1307" w:type="dxa"/>
            <w:vMerge w:val="restart"/>
            <w:shd w:val="clear" w:color="auto" w:fill="auto"/>
            <w:vAlign w:val="center"/>
          </w:tcPr>
          <w:p w14:paraId="1C5E68BD">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运营管理系统（HRP）</w:t>
            </w:r>
          </w:p>
        </w:tc>
        <w:tc>
          <w:tcPr>
            <w:tcW w:w="5695" w:type="dxa"/>
            <w:shd w:val="clear" w:color="auto" w:fill="auto"/>
            <w:vAlign w:val="top"/>
          </w:tcPr>
          <w:p w14:paraId="6207DEBD">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财务管理系统</w:t>
            </w:r>
          </w:p>
        </w:tc>
      </w:tr>
      <w:tr w14:paraId="244E9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1ADF7E5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73</w:t>
            </w:r>
          </w:p>
        </w:tc>
        <w:tc>
          <w:tcPr>
            <w:tcW w:w="1307" w:type="dxa"/>
            <w:vMerge w:val="continue"/>
            <w:shd w:val="clear" w:color="auto" w:fill="auto"/>
            <w:vAlign w:val="center"/>
          </w:tcPr>
          <w:p w14:paraId="2511F2C2">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1C4AAD29">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预算管理系统</w:t>
            </w:r>
          </w:p>
        </w:tc>
      </w:tr>
      <w:tr w14:paraId="60188F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291A74A">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74</w:t>
            </w:r>
          </w:p>
        </w:tc>
        <w:tc>
          <w:tcPr>
            <w:tcW w:w="1307" w:type="dxa"/>
            <w:vMerge w:val="continue"/>
            <w:shd w:val="clear" w:color="auto" w:fill="auto"/>
            <w:vAlign w:val="center"/>
          </w:tcPr>
          <w:p w14:paraId="312E4A67">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B62786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成本核算系统</w:t>
            </w:r>
          </w:p>
        </w:tc>
      </w:tr>
      <w:tr w14:paraId="23CF8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73B3A14B">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75</w:t>
            </w:r>
          </w:p>
        </w:tc>
        <w:tc>
          <w:tcPr>
            <w:tcW w:w="1307" w:type="dxa"/>
            <w:vMerge w:val="continue"/>
            <w:shd w:val="clear" w:color="auto" w:fill="auto"/>
            <w:vAlign w:val="center"/>
          </w:tcPr>
          <w:p w14:paraId="337C8103">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FE65705">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物流管理系统</w:t>
            </w:r>
          </w:p>
        </w:tc>
      </w:tr>
      <w:tr w14:paraId="6EAFB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35" w:hRule="atLeast"/>
          <w:jc w:val="center"/>
        </w:trPr>
        <w:tc>
          <w:tcPr>
            <w:tcW w:w="1296" w:type="dxa"/>
            <w:shd w:val="clear" w:color="auto" w:fill="auto"/>
            <w:vAlign w:val="top"/>
          </w:tcPr>
          <w:p w14:paraId="039550E1">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76</w:t>
            </w:r>
          </w:p>
        </w:tc>
        <w:tc>
          <w:tcPr>
            <w:tcW w:w="1307" w:type="dxa"/>
            <w:vMerge w:val="continue"/>
            <w:shd w:val="clear" w:color="auto" w:fill="auto"/>
            <w:vAlign w:val="center"/>
          </w:tcPr>
          <w:p w14:paraId="0E5B862B">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41C20EB3">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固定资产及设备管理系统</w:t>
            </w:r>
          </w:p>
        </w:tc>
      </w:tr>
      <w:tr w14:paraId="1821D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1296" w:type="dxa"/>
            <w:shd w:val="clear" w:color="auto" w:fill="auto"/>
            <w:vAlign w:val="top"/>
          </w:tcPr>
          <w:p w14:paraId="6E04D43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77</w:t>
            </w:r>
          </w:p>
        </w:tc>
        <w:tc>
          <w:tcPr>
            <w:tcW w:w="1307" w:type="dxa"/>
            <w:vMerge w:val="continue"/>
            <w:shd w:val="clear" w:color="auto" w:fill="auto"/>
            <w:vAlign w:val="center"/>
          </w:tcPr>
          <w:p w14:paraId="4C50B540">
            <w:pPr>
              <w:ind w:left="840" w:leftChars="400" w:firstLine="0" w:firstLineChars="0"/>
              <w:jc w:val="left"/>
              <w:rPr>
                <w:rFonts w:hint="eastAsia" w:ascii="宋体" w:hAnsi="宋体" w:eastAsia="宋体" w:cs="宋体"/>
                <w:i w:val="0"/>
                <w:iCs w:val="0"/>
                <w:color w:val="000000"/>
                <w:sz w:val="24"/>
                <w:szCs w:val="24"/>
                <w:u w:val="none"/>
              </w:rPr>
            </w:pPr>
          </w:p>
        </w:tc>
        <w:tc>
          <w:tcPr>
            <w:tcW w:w="5695" w:type="dxa"/>
            <w:shd w:val="clear" w:color="auto" w:fill="auto"/>
            <w:vAlign w:val="top"/>
          </w:tcPr>
          <w:p w14:paraId="7FBCBDB2">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人力资源管理系统</w:t>
            </w:r>
          </w:p>
        </w:tc>
      </w:tr>
      <w:tr w14:paraId="5D37DC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2" w:hRule="atLeast"/>
          <w:jc w:val="center"/>
        </w:trPr>
        <w:tc>
          <w:tcPr>
            <w:tcW w:w="1296" w:type="dxa"/>
            <w:shd w:val="clear" w:color="auto" w:fill="auto"/>
            <w:vAlign w:val="top"/>
          </w:tcPr>
          <w:p w14:paraId="4C274CE9">
            <w:pPr>
              <w:keepNext w:val="0"/>
              <w:keepLines w:val="0"/>
              <w:widowControl/>
              <w:suppressLineNumbers w:val="0"/>
              <w:ind w:left="840" w:leftChars="400" w:firstLine="0" w:firstLineChars="0"/>
              <w:jc w:val="left"/>
              <w:textAlignment w:val="top"/>
              <w:rPr>
                <w:rFonts w:hint="default" w:ascii="宋体" w:hAnsi="宋体" w:eastAsia="宋体" w:cs="宋体"/>
                <w:i w:val="0"/>
                <w:iCs w:val="0"/>
                <w:color w:val="000000"/>
                <w:sz w:val="24"/>
                <w:szCs w:val="24"/>
                <w:u w:val="none"/>
                <w:lang w:val="en-US"/>
              </w:rPr>
            </w:pPr>
            <w:r>
              <w:rPr>
                <w:rFonts w:hint="eastAsia" w:ascii="宋体" w:hAnsi="宋体" w:eastAsia="宋体" w:cs="宋体"/>
                <w:i w:val="0"/>
                <w:iCs w:val="0"/>
                <w:color w:val="000000"/>
                <w:kern w:val="0"/>
                <w:sz w:val="24"/>
                <w:szCs w:val="24"/>
                <w:u w:val="none"/>
                <w:lang w:val="en-US" w:eastAsia="zh-CN" w:bidi="ar"/>
              </w:rPr>
              <w:t>78</w:t>
            </w:r>
          </w:p>
        </w:tc>
        <w:tc>
          <w:tcPr>
            <w:tcW w:w="1307" w:type="dxa"/>
            <w:shd w:val="clear" w:color="auto" w:fill="auto"/>
            <w:vAlign w:val="center"/>
          </w:tcPr>
          <w:p w14:paraId="0BAD4C8F">
            <w:pPr>
              <w:keepNext w:val="0"/>
              <w:keepLines w:val="0"/>
              <w:widowControl/>
              <w:suppressLineNumbers w:val="0"/>
              <w:jc w:val="left"/>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公共服务平台</w:t>
            </w:r>
          </w:p>
        </w:tc>
        <w:tc>
          <w:tcPr>
            <w:tcW w:w="5695" w:type="dxa"/>
            <w:shd w:val="clear" w:color="auto" w:fill="auto"/>
            <w:vAlign w:val="top"/>
          </w:tcPr>
          <w:p w14:paraId="2943CF9E">
            <w:pPr>
              <w:keepNext w:val="0"/>
              <w:keepLines w:val="0"/>
              <w:widowControl/>
              <w:suppressLineNumbers w:val="0"/>
              <w:ind w:left="840" w:leftChars="400" w:firstLine="0" w:firstLineChars="0"/>
              <w:jc w:val="left"/>
              <w:textAlignment w:val="top"/>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统一支付管理系统</w:t>
            </w:r>
          </w:p>
        </w:tc>
      </w:tr>
      <w:tr w14:paraId="32E1E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2" w:hRule="atLeast"/>
          <w:jc w:val="center"/>
        </w:trPr>
        <w:tc>
          <w:tcPr>
            <w:tcW w:w="1296" w:type="dxa"/>
            <w:shd w:val="clear" w:color="auto" w:fill="auto"/>
            <w:vAlign w:val="top"/>
          </w:tcPr>
          <w:p w14:paraId="5FD1B3FE">
            <w:pPr>
              <w:keepNext w:val="0"/>
              <w:keepLines w:val="0"/>
              <w:widowControl/>
              <w:suppressLineNumbers w:val="0"/>
              <w:ind w:left="840" w:leftChars="400" w:firstLine="0" w:firstLineChars="0"/>
              <w:jc w:val="left"/>
              <w:textAlignment w:val="top"/>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79</w:t>
            </w:r>
          </w:p>
        </w:tc>
        <w:tc>
          <w:tcPr>
            <w:tcW w:w="1307" w:type="dxa"/>
            <w:shd w:val="clear" w:color="auto" w:fill="auto"/>
            <w:vAlign w:val="center"/>
          </w:tcPr>
          <w:p w14:paraId="65536A09">
            <w:pPr>
              <w:keepNext w:val="0"/>
              <w:keepLines w:val="0"/>
              <w:widowControl/>
              <w:suppressLineNumbers w:val="0"/>
              <w:jc w:val="left"/>
              <w:textAlignment w:val="center"/>
              <w:rPr>
                <w:rFonts w:hint="default"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新增需求</w:t>
            </w:r>
          </w:p>
        </w:tc>
        <w:tc>
          <w:tcPr>
            <w:tcW w:w="5695" w:type="dxa"/>
            <w:shd w:val="clear" w:color="auto" w:fill="auto"/>
            <w:vAlign w:val="top"/>
          </w:tcPr>
          <w:p w14:paraId="4D77E2B6">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信息集成平台</w:t>
            </w:r>
          </w:p>
          <w:p w14:paraId="51EABAD8">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在集成引擎中应用MQ推送消息日志技术，能够进一步优化消息日志处理流程，显著提高系统性能和稳定性。此外，通过将消息推送功能从集成引擎中剥离出来，有效避免了因消息积压或处理延迟导致集成引擎性能下降，为医院信息系统的高效运行提供了有力保障。</w:t>
            </w:r>
          </w:p>
          <w:p w14:paraId="6C6A6B97">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优化对平台所有消息队列、服务数、服务交互流程（提供方、消费方）、服务异常等状态等进行监控可视化、统一界面管理。</w:t>
            </w:r>
          </w:p>
          <w:p w14:paraId="0EB17D4B">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依据国家标准和行业规范，制定详细的主数据映射规则，确保不同业务系统中的诊断、手术、字典等数据与国家标准保持一致。通过主数据管理系统中的数据映射功能，实现自动映射和转换功能，减少人工干预，提高映射准确性和效率。</w:t>
            </w:r>
          </w:p>
          <w:p w14:paraId="74503637">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消息异步化推送机制，确保返回消息无需等待，有效提升系统响应速度。这一机制能够显著降低因网络延迟或资源竞争对业务流程的影响，确保各业务系统之间的信息交互更加流畅、高效，增强系统的稳定性和可靠性，提升用户体验。</w:t>
            </w:r>
          </w:p>
          <w:p w14:paraId="3F4F9F8E">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在医疗服务信息系统的门诊与住院业务模块中，当前界面展示的流水号字段需进行调整，具体为将门诊场景下显示的流水号替换为门诊号字段，住院场景下显示的流水号替换为住院号字段，以确保患者标识信息与对应业务场景的精准匹配，提升医疗数据管理的规范性及临床信息查询的准确性。</w:t>
            </w:r>
          </w:p>
          <w:p w14:paraId="269A765B">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在系统消息推送相关模块中，需新增两项核心功能：一是消息推送日志功能，用于完整记录每一条消息的推送触发时间、目标对象、推送状态、失败原因及内容摘要等关键信息，支持后续对推送过程的追溯、问题排查与运营监控；二是消息推送补偿功能，针对推送失败、超时或未达的消息提供人工手动触发补偿推送的操作入口，以保障消息传递的完整性与业务流程的连续性。</w:t>
            </w:r>
          </w:p>
          <w:p w14:paraId="3BF063E1">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在数据治理体系中的数据勾稽校验模块，需同步推进两项核心优化：一是在现有校验流程中新增校验明细展示能力，需明确呈现每次校验所覆盖的业务维度、涉及的具体数据字段、校验结果（通过 / 异常）及异常数据的不符项说明，为后续问题定位与根源追溯提供精准依据；二是开展数据勾稽校验核心功能迭代，重点优化校验逻辑算法以提升准确性、扩展校验规则库以适配新增业务场景、完善校验结果反馈机制以缩短问题处理周期，最终保障跨业务模块数据流转的一致性与可靠性，支撑业务决策的精准性。</w:t>
            </w:r>
          </w:p>
          <w:p w14:paraId="51EFEB0C">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数据质量调度器存在多线程运行异常；CDR 数据校验环节存在待处理问题；需优化数据勾稽校验结果页面的打开速度；需新增数据勾稽校验汇总问题的定时推送功能。</w:t>
            </w:r>
          </w:p>
          <w:p w14:paraId="11422881">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针对多端点并发报错场景进行优化，同时需排查部分端点异常信息未采集的潜在问题，确保异常数据收集的完整性与场景覆盖度。</w:t>
            </w:r>
          </w:p>
          <w:p w14:paraId="553F0F23">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在批量补偿功能模块中，需进行功能迭代，新增支持在批量补偿操作过程中单独选择单个端点执行补偿的能力，以提升补偿操作的灵活性与精准性，满足精细化业务处理需求。</w:t>
            </w:r>
          </w:p>
          <w:p w14:paraId="4C614D37">
            <w:pPr>
              <w:numPr>
                <w:ilvl w:val="0"/>
                <w:numId w:val="4"/>
              </w:numPr>
              <w:ind w:firstLine="640"/>
              <w:rPr>
                <w:rFonts w:hint="eastAsia" w:ascii="宋体" w:hAnsi="宋体" w:eastAsia="宋体" w:cs="宋体"/>
                <w:sz w:val="24"/>
                <w:szCs w:val="24"/>
              </w:rPr>
            </w:pPr>
            <w:r>
              <w:rPr>
                <w:rFonts w:hint="eastAsia" w:ascii="宋体" w:hAnsi="宋体" w:eastAsia="宋体" w:cs="宋体"/>
                <w:sz w:val="24"/>
                <w:szCs w:val="24"/>
              </w:rPr>
              <w:t>优化 Redis 堆积监控统计机制，当检测到堆积时触发提示告警并执行写入停止操作；同时，将监控信息发送至闭环系统的连接方式，由单个连接调整为连接池模式，以提升传输稳定性与效率。</w:t>
            </w:r>
          </w:p>
          <w:p w14:paraId="6E898183">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临床医护信息系统</w:t>
            </w:r>
          </w:p>
          <w:p w14:paraId="1A45681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门诊信息系统在药品库存不足时仍允许开具该药品处方，患者完成缴费后需办理退费手续并重新调整处方。</w:t>
            </w:r>
          </w:p>
          <w:p w14:paraId="10B9B4DB">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公众号缴费渠道反馈缴费失败且提示已向患者退款，但收费管理系统中该笔缴费状态显示为正常完成，同时检查科室业务系统内亦同步存在该笔缴费对应的业务记录。</w:t>
            </w:r>
          </w:p>
          <w:p w14:paraId="2B0FE69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开具中药处方时，中药剂数作为影响服药周期的关键参数调整后，系统未实现服药日期的自动同步更新，需手动修改以匹配调整后的剂数。</w:t>
            </w:r>
          </w:p>
          <w:p w14:paraId="7E51BD65">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开具药品医嘱环节，药品给药频率对应的填写字段存在功能异常，无法实现正常录入操作，包括手动输入频次文本、通过下拉菜单选择预设频次等方式均无法完成该信息的填写，导致医嘱中药品使用频次这一关键执行信息无法按规范补充完整。</w:t>
            </w:r>
          </w:p>
          <w:p w14:paraId="3C4594FB">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护理文书管理环节，护理理疗执行记录、指脉氧监测记录、生命体征监测记录等护理相关记录模块，支持操作人员对上述记录类型进行单项勾选选择，并基于所选单项记录实现对应内容的独立打印输出，该功能可满足临床对特定护理记录的精准调取与纸质留存需求，提升护理文书打印的针对性与工作效率。</w:t>
            </w:r>
          </w:p>
          <w:p w14:paraId="17E06EC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在临床中药房执行中药派单打印操作环节，存在打印输出的中药派单文档中所载日期信息与实际基准时间不匹配的异常情况；其中 “实际基准时间” 包括两类核心时间节点，一是执行打印操作时的系统实时时间，二是派单所对应中药医嘱的开具时间或计划发药时间，最终表现为打印派单上的日期与上述两类实际时间均存在偏差。</w:t>
            </w:r>
          </w:p>
          <w:p w14:paraId="256A8C9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费用冲减操作环节，针对需跨多个自然日的费用冲减需求，当前系统功能存在局限：无法支持操作人员自主选择连续或非连续的多日期范围进行批量冲减，仅能按单个自然日为单位逐一发起冲减申请，且每次冲减需单独调取对应单日的费用明细完成核对与提交。该操作模式不仅延长了跨日期费用冲减的整体耗时，还增加了重复操作的失误概率，不符合临床费用管理流程中高效处理跨期退费需求的规范化要求。</w:t>
            </w:r>
          </w:p>
          <w:p w14:paraId="19F1D7E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医嘱开具与审核全流程中，当前医嘱管理系统缺乏针对医嘱异常情况的自动化预警机制，具体表现为无法对核心异常场景触发提醒，可能影响患者诊疗方案的准确性与安全性，不符合临床医嘱质量管理的规范化要求。</w:t>
            </w:r>
          </w:p>
          <w:p w14:paraId="70109875">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医院信息系统的数据统计分析模块中，自定义报表生成功能模块缺乏自动化数据提取与多维度汇总能力，具体表现为核心业务数据无法实现目标维度的自动汇总，不仅大幅增加数据统计的人力成本与耗时，还提升了数据统计误差风险，同时降低了数据利用时效性，不符合医疗数据统计分析的规范化与高效化要求。</w:t>
            </w:r>
          </w:p>
          <w:p w14:paraId="19802BD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在临床中医诊疗操作的治疗单管理与打印环节，当前系统未配置中医治疗单的批量汇总打印功能，无法实现对同一患者（或指定诊疗周期内）的多张中医治疗单进行一次性勾选并触发批量打印操作。</w:t>
            </w:r>
          </w:p>
          <w:p w14:paraId="36CB0D7B">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在临床医嘱管理系统的医嘱开具模块中，需增设 “跨患者医嘱复制引用” 功能，该功能定位为辅助标准化医嘱高效开具的工具，核心应用场景覆盖同类疾病、相似诊疗需求对应的标准化医嘱复制。</w:t>
            </w:r>
          </w:p>
          <w:p w14:paraId="7483DC39">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在中医护理门诊的诊疗服务与系统管理流程中，需针对护士角色的临床操作需求，分模块优化门诊系统与护士站功能，具体功能需符合护理核心及医疗数据安全管理。</w:t>
            </w:r>
          </w:p>
          <w:p w14:paraId="75EAD45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在临床医嘱管理系统的医嘱开具与保存环节，需优化医嘱保存失败时的系统反馈机制，核心目标为触发 “精准化原因提示”，替代当前可能存在的 “笼统性保存失败提示”（如仅显示 “保存失败” 无具体原因），以辅助医护人员快速定位问题、高效完成医嘱修正，保障医嘱开具流程的连续性与合规性。</w:t>
            </w:r>
          </w:p>
          <w:p w14:paraId="5613838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在医院信息系统（HIS）与电子病历（EMR）系统的跨系统数据交互环节，存在检查检验结果数据同步异常问题，即两类系统间未能实现检查检验结果（含检验报告、影像检查报告、病理检查报告等）的实时 / 准实时数据互通与一致性更新，直接影响临床诊疗决策效率与医疗数据管理规范性。</w:t>
            </w:r>
          </w:p>
          <w:p w14:paraId="043F9D82">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在临床医嘱执行查询模块的 “血压监测专项医嘱执行状态查询” 场景中，存在需执行血压监测医嘱的患者信息展示不全问题，核心表现为 “个别应纳入查询结果的患者未被系统正常列出”，即部分已开具有效血压监测医嘱（含长期 / 临时血压监测医嘱）的患者，未在查询结果列表中呈现，不符合《护理核心制度》中 “医嘱执行全流程可追溯、可核对” 的管理要求，可能干扰血压监测医嘱的执行覆盖度与患者诊疗安全。</w:t>
            </w:r>
          </w:p>
          <w:p w14:paraId="28C59F4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在医院药事管理的 “药品领药出库 - 数据记录” 环节，存在药品领药出库物理凭证与 HIS 系统药品单据查询结果不一致的问题，核心表现为两者的 “页码数、核心内容、金额” 未实现匹配，对药品库存管理、财务对账及药事合规性造成直接影响。</w:t>
            </w:r>
          </w:p>
          <w:p w14:paraId="2507396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在医嘱系统的会诊申请模块中，存在会诊科室选择功能缺乏检索机制的核心缺陷，即临床医师发起会诊申请时，系统仅提供 “固定下拉列表” 或 “分页滚动列表” 展示全院会诊科室，未配置 “科室关键词搜索” 功能，无法通过科室名称、科室类别等信息快速定位目标科室，违背《医院会诊管理办法》中 “会诊申请流程需高效、便捷，保障诊疗时效性” 的要求，对临床会诊申请效率与准确性造成直接影响。</w:t>
            </w:r>
          </w:p>
          <w:p w14:paraId="5DB533E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在临床医嘱开具与检验管理的衔接环节，存在同一检验项目重复开具后检验单条码生成异常、收费与结果输出错配的核心问题，即医生在同一诊疗周期内为患者误开多次相同检验项目，但检验单查询模块仅生成 1 个检验条码，而收费系统却按医嘱开具次数多次计费，最终检验科室仅依据 1 个条码完成 1 次检验并输出 1 份结果，形成 “多次收费 - 单次检验 - 单次结果” 的错配闭环，违背《医疗机构临床实验室管理办法》《医院财务制度》中 “检验项目开具需与临床需求匹配”“收费需与服务内容一致” 的管理要求，引发患者经济纠纷与医疗资源浪费风险。</w:t>
            </w:r>
          </w:p>
          <w:p w14:paraId="00D8E9C0">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在医院医保结算数据管理与国家医疗保障信息平台的对接环节，需严格遵循 “全量、自动化” 的数据上传原则，即医院端产生的所有医保结算数据（含门诊、住院、门诊慢特病等全场景），需通过标准化系统接口实现无人工干预的全量自动上传，确保数据覆盖完整性、传输时效性与合规性，符合《国家医疗保障信息平台数据接口标准》《医疗保障基金使用监督管理条例》中 “医保数据需全量归集、真实准确、实时互通” 的管理要求，支撑国家医保平台对基金使用、诊疗行为的精准监管与精细化服务。</w:t>
            </w:r>
          </w:p>
          <w:p w14:paraId="54DF34DB">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医院财务对账管理与医保结算协同环节，存在出院患者结算单边账问题，即医院信息系统（HIS）的出院结算记录与医保结算系统（或财务核算系统）的对应交易记录无法双向匹配，仅单一系统存在有效记录（另一方缺失或状态异常），导致日终 / 月度对账出现 “账实不符”，违背《医院财务制度》《医保基金结算管理规范》中 “出院结算数据需‘账证相符、系统互通’” 的要求，需优先排查并处置以保障财务合规与医保基金结算准确性。</w:t>
            </w:r>
          </w:p>
          <w:p w14:paraId="798F861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按医院管理方法，需开通门诊按金管理功能，包括门诊按金收取、门诊按金日结。</w:t>
            </w:r>
          </w:p>
          <w:p w14:paraId="5164A09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院本部的中药处方与便民药房的中药处方不能一键切换，重录很浪费时间，建议添加一个更改药房时候自动按原剂量原方一键变更，不然出院带药需要拍照后再一个个录入非常不方便，门诊开中药开错药房取药变更亦非常麻烦。</w:t>
            </w:r>
          </w:p>
          <w:p w14:paraId="438036F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医嘱系统登录界面选择登录科室时，点到空白键时，容易导致科室不能下拉选中，需删除空白键后再次点击下拉选择，给临床带来很多不便。</w:t>
            </w:r>
          </w:p>
          <w:p w14:paraId="775ABD3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临床使用血制品需要与血库系统对接，实现用血需经血库复核。</w:t>
            </w:r>
          </w:p>
          <w:p w14:paraId="401D5D8B">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绿色通道患者，在传送申请单到lis系统时，缺乏绿通标识。</w:t>
            </w:r>
          </w:p>
          <w:p w14:paraId="639060D8">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根据《春中医【2025】40号》文件增加预交金的限额提醒功能。</w:t>
            </w:r>
          </w:p>
          <w:p w14:paraId="5C271D69">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胃肠镜检查申请界面进行调整，不需要填写检查部位和检查目的，建议删除。需要增加询问用药史选项：近1周是否服用阿司匹林等抗血小板或华法林等抗凝药物。</w:t>
            </w:r>
          </w:p>
          <w:p w14:paraId="46EF5A7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增加护理理疗、指脉氧、生命体征等可单项选择打印。</w:t>
            </w:r>
          </w:p>
          <w:p w14:paraId="112677A4">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统计长嘱中说明医嘱防跌倒防压疮防外渗等的次数/住院一次。长嘱q8h或q12h的用药，首日为1，打印会有2次或3次执行单。</w:t>
            </w:r>
          </w:p>
          <w:p w14:paraId="26EB449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医嘱可以增设一个跨病人复制引用的功能。</w:t>
            </w:r>
          </w:p>
          <w:p w14:paraId="11E98A5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建议医嘱系统存模板，可以存到既往已建的医嘱模板，而不是再建一个，也不是自己在原有模板改动。</w:t>
            </w:r>
          </w:p>
          <w:p w14:paraId="5E965FB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中医护理门诊，门诊系统添加护士修改医嘱执行科室权限；护士站一般治疗窗口添加到处患者信息功能；添加治疗护士查询患者资本信息功能，方便沟通患者。</w:t>
            </w:r>
          </w:p>
          <w:p w14:paraId="38E5E1E3">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医嘱执行查询，需测血压病人显示不全（个别病人没显示）。</w:t>
            </w:r>
          </w:p>
          <w:p w14:paraId="09D339B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新CT开展，需要设置CTA开单分支模版。</w:t>
            </w:r>
          </w:p>
          <w:p w14:paraId="6A6D1525">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业务数据报表提取数据时无法按主诊断提取，例如优势病种、临床路径等。</w:t>
            </w:r>
          </w:p>
          <w:p w14:paraId="7AA10A4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医嘱系统开中药时无法直接切换自煎、代煎，非常麻烦及耽误门诊看诊时间。</w:t>
            </w:r>
          </w:p>
          <w:p w14:paraId="09CBFF5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门诊医嘱系统录入带有“/ac”或“/餐时”如“tid/ac、tid/餐时”的频率时，在门诊病历无法自动生成频率。</w:t>
            </w:r>
          </w:p>
          <w:p w14:paraId="2CFE6AE5">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医嘱系统录入诊断后，如修改了诊断，修改后的诊断无法显示在打印的处方单上，也无法显示在门诊病历上，只能显示系统库里的诊断病名和证型。但医疗活动中，系统库里的诊断病名和证型无法满足现实需求。</w:t>
            </w:r>
          </w:p>
          <w:p w14:paraId="56564EF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会诊选择科室时过滤已停用科室并增加检索功能。</w:t>
            </w:r>
          </w:p>
          <w:p w14:paraId="6FA1A2D0">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医嘱系统治疗的备注不能同步到门诊病历。</w:t>
            </w:r>
          </w:p>
          <w:p w14:paraId="516A63E3">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门诊病历无法修改诊断痹症类病为项痹。</w:t>
            </w:r>
          </w:p>
          <w:p w14:paraId="714303F3">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根据《阳江市医疗保障局关于印发《阳江市职工基本医疗保险个人账户异地家庭共济实施方案》的通知》（ 阳医保办〔2024〕39号）文件要求做好医院端口改造工作。</w:t>
            </w:r>
          </w:p>
          <w:p w14:paraId="2BE0EB7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急诊中医治疗项目没有单项统计报表。</w:t>
            </w:r>
          </w:p>
          <w:p w14:paraId="2B5305F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缺科室为单位的医生收治统计报表。</w:t>
            </w:r>
          </w:p>
          <w:p w14:paraId="3CB0E6D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收费单增加检查检验位置指引。</w:t>
            </w:r>
          </w:p>
          <w:p w14:paraId="3C0E0495">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特困或低保救助人群在门诊特门或住院产生的医疗救助记账金额，未能按照政策要求分为“医疗救助”和“二次救助（倾斜救助 ）”。</w:t>
            </w:r>
          </w:p>
          <w:p w14:paraId="075744C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医生开耗材（胰岛素笔、胰岛素针头、面膜、胶原贴敷料等），药房配药时不会出处方。</w:t>
            </w:r>
          </w:p>
          <w:p w14:paraId="0435708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精一、麻醉药品、毒性药品处方调好打印机处方格式，药房可自行备红色处方打印出，免去医生手写费时费力。精二药品处方格式需继续修改，增加代领人。</w:t>
            </w:r>
          </w:p>
          <w:p w14:paraId="4A7116B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系统运行缓慢，需优化运行速度。</w:t>
            </w:r>
          </w:p>
          <w:p w14:paraId="20714E19">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HIS系统实现电子双签名功能，并在纸质处方打印时显示(医生姓名，处方日期，双签理由)(凡是合理用药系统提示医生需双签的都要显示)。</w:t>
            </w:r>
          </w:p>
          <w:p w14:paraId="5968EB22">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中药膏方处方自动弹框选择用法供医生选择：（用法编号：Z011，Z012，Z013其中一种）。</w:t>
            </w:r>
          </w:p>
          <w:p w14:paraId="39886D6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中药颗粒处方自动弹框选择用法供医生选择：（用法编号：Z007，Z008，Z009，Z0016，Z0017，Z022其中一种）。</w:t>
            </w:r>
          </w:p>
          <w:p w14:paraId="67E7C57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中药传统饮片处方自动弹框选择用法供医生选择：（用法编号：Z0016，Z0017，Z0018，Z0019，Z0020; Z002，Z004，Z006；Z014，Z016，Z019，Z020，Z021，Z022其中一种）。</w:t>
            </w:r>
          </w:p>
          <w:p w14:paraId="6710804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中药茶包处方自动弹框选择用法供医生选择：（用法编号：Z014）。</w:t>
            </w:r>
          </w:p>
          <w:p w14:paraId="35CE2D88">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中药药粉包自动匹配用法：（用法编号：Z015；外用（临方打粉，外用）。</w:t>
            </w:r>
          </w:p>
          <w:p w14:paraId="55569664">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中药膏方、院内制剂、中成药，中药协定处方，中药茶饮，根据各品名自动匹配中医证候诊断（药房提供药品名称和中医证候）。</w:t>
            </w:r>
          </w:p>
          <w:p w14:paraId="100F575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禁止单次用量1克的处方（合理用药系统可设置）。</w:t>
            </w:r>
          </w:p>
          <w:p w14:paraId="38CCEFD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中药房是否可以按实际情况扫码计算工作量。</w:t>
            </w:r>
          </w:p>
          <w:p w14:paraId="0BF599D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按实际情况实行各种自定义报表功能。</w:t>
            </w:r>
          </w:p>
          <w:p w14:paraId="6D58A7F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医嘱系统录入诊断后，如修改了诊断，修改后的诊断无法显示在打印的处方单上，也无法显示在门诊病历上，只能显示系统库里的诊断病名和证型。中医诊断两个时候不能做到一个诊断对应一个证型，而住院部可以，建议借鉴住院病历系统，因为有时候两个中医病种开的中成药需要的症候不一致，现在不管多少个证型都一起在一个括号里面。</w:t>
            </w:r>
          </w:p>
          <w:p w14:paraId="3D0D0BF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门诊系统所有病人需要写门诊病历，有时候未能立刻书写，需要补写时候查找哪个漏写的非常麻烦，建议在已诊病人列表对未书写门诊病历的病人作红色标记，书写未签字的作其他颜色标志。</w:t>
            </w:r>
          </w:p>
          <w:p w14:paraId="4D4DE87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限制用药多少天的在医嘱提示不够明显，经过数次提意见，目前可以做到病人超过14天更改医嘱时候部分提示药物需要注意天数，建议增加弹窗，病人住院超过14天、20天病人在全科弹窗提示，出院病人弹窗选择限制用药是否已经核对正确，选择了已核对的病人才可以办理出院。</w:t>
            </w:r>
          </w:p>
          <w:p w14:paraId="29F5884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部分手术、治疗、耗材医嘱无法同步至门诊病历。</w:t>
            </w:r>
          </w:p>
          <w:p w14:paraId="05AE04F9">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长嘱的针水，注射器前面两天是收对了，但中间有几天是系统自动收取其他型号的注射器。</w:t>
            </w:r>
          </w:p>
          <w:p w14:paraId="206FA66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长嘱的针水，药物和耗材都收对了，但是溶媒常常会自动多收费用，没办法冲减。</w:t>
            </w:r>
          </w:p>
          <w:p w14:paraId="3414AA6B">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检查单信息更正后不能正常上传医嘱及病例系统，书写病例时需打开检查报告单手打检查结果。</w:t>
            </w:r>
          </w:p>
          <w:p w14:paraId="1DC68BD0">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经常需开具新的医嘱时按空格键无响应，需多次按空格键才响应。</w:t>
            </w:r>
          </w:p>
          <w:p w14:paraId="16F20FC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经常点修改医嘱时，临时医嘱不能显示既往医嘱，但是点修改后不能点左下角显示全部医嘱按钮，需取消修改后，在左下角选择宣示全部医嘱后才能看既往医嘱。</w:t>
            </w:r>
          </w:p>
          <w:p w14:paraId="2C44F1C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进入医嘱登陆窗口选择科室时下拉按钮只能按一次，不小心点错没点到就点不了，需自行打科室名字。</w:t>
            </w:r>
          </w:p>
          <w:p w14:paraId="5E0B8F1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耗材仓库根据货单录入改价物品时，没有推送到HIS医保科审核人员处。</w:t>
            </w:r>
          </w:p>
          <w:p w14:paraId="0F0ED99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领药出库-领用单位如果改了名称，历史出库记录中的单位名称也会被更新。</w:t>
            </w:r>
          </w:p>
          <w:p w14:paraId="7F0598EB">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液体之间，接下一瓶时，要退出重新进入点才结束另一瓶。</w:t>
            </w:r>
          </w:p>
          <w:p w14:paraId="70A038C2">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优抚病人直接收费系统结算，不用去另外民政系统再次手工做。</w:t>
            </w:r>
          </w:p>
          <w:p w14:paraId="61B9E4A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qw 的出院带药，改了备注，周几，总药量会按qd计算。</w:t>
            </w:r>
          </w:p>
          <w:p w14:paraId="54FD35D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涉及调价的品种，在盘点的时候，需要区分出来。</w:t>
            </w:r>
          </w:p>
          <w:p w14:paraId="0F7D9EE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医生开具输血申请单时，患者基本信息处很多信息在系统上并没有位置填写，但是打印出来是空的。</w:t>
            </w:r>
          </w:p>
          <w:p w14:paraId="7207CE74">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病人单一项目需要退费，必须同组全部项目退完再重新开剩余项目，非常麻烦。</w:t>
            </w:r>
          </w:p>
          <w:p w14:paraId="171DC6D4">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运送组送检验标本扫码时系统反应慢，容易漏扫。</w:t>
            </w:r>
          </w:p>
          <w:p w14:paraId="7DC37CA2">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绿色通道患者，在lis上没有标识，无法统计。</w:t>
            </w:r>
          </w:p>
          <w:p w14:paraId="5F557325">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接口性别代码错误，导致急救系统性别错误（C0306020003EncounterCardInfoQuery就诊卡信息查询接口，HIS性别代码9返回的是女性，要改成2女性、9未说明的性别）。</w:t>
            </w:r>
          </w:p>
          <w:p w14:paraId="6CF5529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医嘱信息新增服务C0306020012接口，ANTIDRUG_PURPOSE 用药目的字段没传值。</w:t>
            </w:r>
          </w:p>
          <w:p w14:paraId="7142BD3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智能监控，非住院期间的医嘱限制提交。</w:t>
            </w:r>
          </w:p>
          <w:p w14:paraId="36E242E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多个科室小手术的没有开手术申请，但是想要通过手术申请信息查询接口能拿查得到。</w:t>
            </w:r>
          </w:p>
          <w:p w14:paraId="31054F69">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医保登记信息 MedicalInsuranceRegister C0306020134。</w:t>
            </w:r>
          </w:p>
          <w:p w14:paraId="7AFBEF7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医保登记信息查询接口 MedicalInsuranceSelect C0306020135。</w:t>
            </w:r>
          </w:p>
          <w:p w14:paraId="4873E733">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以上两个接口都有问题，&lt;NATIONAL_CODE&gt;99&lt;/NATIONAL_CODE&gt;这个汉族应该传01，目前HIS有些传的是99。</w:t>
            </w:r>
          </w:p>
          <w:p w14:paraId="58E9495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his系统→药库→仓库药品维护→lz00324，医生无法开处方，之前的词条也是一样的设置，没有问题</w:t>
            </w:r>
          </w:p>
          <w:p w14:paraId="65F54EE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his系统→药房→业务操作→药房退药，其他入房，其他出房，调拨出房等 ，药物信息输入的单位改为可以自选。</w:t>
            </w:r>
          </w:p>
          <w:p w14:paraId="5FB18CC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库→药库盘点→修改盘点表打印时的排列顺序，盘点表打印时药品条目的排列顺序请先按货柜码301 302 303 304排序，如果没有货柜码的就放在最后，然后再按药品编码顺序从小到大顺序排列，货柜码不用出现在盘点单的打印内容中，只是用来排序的。</w:t>
            </w:r>
          </w:p>
          <w:p w14:paraId="56440CC3">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his系统→药库→采购申请→在剩余存款量右边增加一行内容，增加的一栏标题为“整体规格”，将仓库药（物）品维护→药品信息→整体规格的内容关联上采购申请的“整体规格”一行。</w:t>
            </w:r>
          </w:p>
          <w:p w14:paraId="2F3AFF6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HIS系统→药库→仓库药物品维护→药品信息维护→请在集中采购药品项目下方增加一个“采购备注”的可填写方框</w:t>
            </w:r>
          </w:p>
          <w:p w14:paraId="1E4CDE2D">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同一张处方有医保和自费的项目，增加一项，在收费时提示一下</w:t>
            </w:r>
          </w:p>
          <w:p w14:paraId="176FBA0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his系统→药房→业务操作:药房退药，调拨出房等 ，药物信息输入的单位改为可以自选（或者按原来的整单位退回）。拆零之后退回会导致批号信息丢失，金额有差别。</w:t>
            </w:r>
          </w:p>
          <w:p w14:paraId="13F4C62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his系统→药房→业务操作:药房退药，调拨出房等 ，药物信息输入的单位改为可以自选（或者按原来的整单位退回）。拆零之后退回会导致批号等信息丢失。</w:t>
            </w:r>
          </w:p>
          <w:p w14:paraId="33E51119">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门诊开嘱界面也要有手术申请单</w:t>
            </w:r>
          </w:p>
          <w:p w14:paraId="26E902C2">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运送组送检验标本扫码时系统反应慢，容易漏扫</w:t>
            </w:r>
          </w:p>
          <w:p w14:paraId="62A803F4">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his系统→药库→药库盘点：在划红框的地方增加一个导出功能，可以导出电子版的盘点表</w:t>
            </w:r>
          </w:p>
          <w:p w14:paraId="6CE967D0">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在his系统新增医疗报销查询报表，报表见图片</w:t>
            </w:r>
          </w:p>
          <w:p w14:paraId="2836374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护士医嘱系统床位一览处病人无级别护理颜色标识，无分类汇总级别病人数量</w:t>
            </w:r>
          </w:p>
          <w:p w14:paraId="4D57716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病房日志当天无出院明细病人信息</w:t>
            </w:r>
          </w:p>
          <w:p w14:paraId="2999D8A1">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医嘱执行打印处科内712泵胰岛素泵入无二维码，中药派药单打印后无法更新没打印患者</w:t>
            </w:r>
          </w:p>
          <w:p w14:paraId="23B2FA60">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EmergencyAdviceAdd院前医嘱新增服务，HIS部分返回失败</w:t>
            </w:r>
          </w:p>
          <w:p w14:paraId="6F586C14">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护士查对医嘱界面经常突然医嘱消失，出现空白×界面</w:t>
            </w:r>
          </w:p>
          <w:p w14:paraId="36C32E04">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医疗护士站中医治疗执行时间操作繁琐，不够灵活</w:t>
            </w:r>
          </w:p>
          <w:p w14:paraId="0CCF944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护士医嘱系统无法查阅药物说明</w:t>
            </w:r>
          </w:p>
          <w:p w14:paraId="3F7E0B7C">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门诊医师未书写病历没有弹窗提示</w:t>
            </w:r>
          </w:p>
          <w:p w14:paraId="31111443">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医嘱的有些项目顺序可以调换一下吗？“是否主诊断用药”、“用药目的”能否调到后面去？我需要看的长嘱的“首次”“末次”，临嘱的“备注”要拉才看得到</w:t>
            </w:r>
          </w:p>
          <w:p w14:paraId="057FFD79">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LIS系统可以筛选急查标本（如图），但一直没有医生在系统上开过，不知道是医嘱系统没有这功能还是没有教导医生使用？</w:t>
            </w:r>
          </w:p>
          <w:p w14:paraId="0374FDB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近期发生多次，医生开多个检验医嘱，但检验查询时会少一个医嘱，导致采血遗漏。检验科也无法发现开了医嘱但是检验查询那里查询不到的标本，没办法阻止问题发生，只能等医生或者患者来问为什么结果还没出，容易被投诉。</w:t>
            </w:r>
          </w:p>
          <w:p w14:paraId="24C78010">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C0306020115 AdviceCostDetailed费用明细查询接口，HIS退费冲正的 没传入被退单的费用明细流水号INIT_FEEDETL_SN</w:t>
            </w:r>
          </w:p>
          <w:p w14:paraId="38002823">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住院医嘱模版不能用首字母搜索，不能快速录入医嘱</w:t>
            </w:r>
          </w:p>
          <w:p w14:paraId="5FF9BCF2">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将目前科室办理出院时需药房打印所有未发口服、针剂医嘱才能执行出院改为药房打印出院带药时需先打印所有未发口服、针剂医嘱才能打印出院带药。科室为病人办理出院时勿需关联未打印医嘱单</w:t>
            </w:r>
          </w:p>
          <w:p w14:paraId="60E8CD8A">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根据《春中医〔2025】40号》文件增加预交金的限额提醒功能</w:t>
            </w:r>
          </w:p>
          <w:p w14:paraId="28BEBAD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中医院_住院病号明细表”项目请增加“西药费”、“其中自费西药费”、“中成药费”、“其中自费中成药费”、”中药费“、”其中自费中药费“、“检查费”、“检验费”、“治疗费”、“手术费”“其他费用”</w:t>
            </w:r>
          </w:p>
          <w:p w14:paraId="511A88A8">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存在床位费、护理费收取天数超出实际住院天数；或吸氧1日，却收取144小时吸氧费的逻辑性错误行为。</w:t>
            </w:r>
          </w:p>
          <w:p w14:paraId="017DE71F">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普通科室转重症医学科级别护理收费能否作提示。</w:t>
            </w:r>
          </w:p>
          <w:p w14:paraId="193ABBF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门诊医嘱系统运行一段时间就会死机瘫痪。</w:t>
            </w:r>
          </w:p>
          <w:p w14:paraId="1644F9C7">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一部分检查项目和治疗项目、治疗备注、用药备注、用药频率没有在病历显示出来。</w:t>
            </w:r>
          </w:p>
          <w:p w14:paraId="5A74A44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没有显示部分治疗，导致漏做治疗，或者跳过该治疗，让患者久等。</w:t>
            </w:r>
          </w:p>
          <w:p w14:paraId="408BD098">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医保清单常有缺失项（如：出院时间缺失等）。</w:t>
            </w:r>
          </w:p>
          <w:p w14:paraId="3C7FF52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胃肠镜申请界面进行调整，不需要填写检查部位和检查目的，建议删除。需要增加询问用药史选项：近1周是否服用阿司匹林等抗血小板或华法林等抗凝药物。</w:t>
            </w:r>
          </w:p>
          <w:p w14:paraId="34935F2E">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制剂仓库-出入库-单据打印没关联到制单人。包括饮片和卫材的出入库。</w:t>
            </w:r>
          </w:p>
          <w:p w14:paraId="0AA2CC36">
            <w:pPr>
              <w:numPr>
                <w:ilvl w:val="0"/>
                <w:numId w:val="5"/>
              </w:numPr>
              <w:ind w:firstLine="640"/>
              <w:rPr>
                <w:rFonts w:hint="eastAsia" w:ascii="宋体" w:hAnsi="宋体" w:eastAsia="宋体" w:cs="宋体"/>
                <w:sz w:val="24"/>
                <w:szCs w:val="24"/>
              </w:rPr>
            </w:pPr>
            <w:r>
              <w:rPr>
                <w:rFonts w:hint="eastAsia" w:ascii="宋体" w:hAnsi="宋体" w:eastAsia="宋体" w:cs="宋体"/>
                <w:sz w:val="24"/>
                <w:szCs w:val="24"/>
              </w:rPr>
              <w:t>三管评估患者漏评估没有弹窗提醒。</w:t>
            </w:r>
          </w:p>
          <w:p w14:paraId="46E25441">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门诊电子病历系统</w:t>
            </w:r>
          </w:p>
          <w:p w14:paraId="4D089C0A">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为实现护理文书书写的标准化，需配置 “自动续页码”“默认页码初始化”“时间自动生成与显示” 功能。</w:t>
            </w:r>
          </w:p>
          <w:p w14:paraId="4BD4461C">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经编码员完成编目的病历，后续因诊疗补充、信息完善等需求退回并进入修改流程时，若医生对病历首页关键信息（如患者基本信息、诊断信息、诊疗信息等）进行调整修改，该类修改操作当前难以被有效识别与追踪。</w:t>
            </w:r>
          </w:p>
          <w:p w14:paraId="30CA03BE">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环节质控与终末质控模块中，执行患者信息检索操作时，存在床号信息呈现异常问题,检索结果仅展示患者基础信息，对应患者的床号信息未正常加载或显示，导致质控人员无法在检索界面直接获取患者当前床位关联信息。该问题影响质控工作中对患者床位信息的快速核对，可能降低质控操作的准确性与效率，不符合临床质控流程对患者信息完整性呈现的要求。</w:t>
            </w:r>
          </w:p>
          <w:p w14:paraId="60F5027E">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质控报表页面的查询功能完整性不符合预期，具体表现为常用查询条件存在配置缺失，且数据检索维度覆盖不足，无法支持用户根据实际质控需求执行个性化、多条件组合的查询操作。该问题导致用户难以快速定位目标质控数据，需通过多次基础查询或人工筛选补充获取信息，既降低了质控报表数据的获取效率，也影响了基于报表数据开展质控分析的精准性与及时性。</w:t>
            </w:r>
          </w:p>
          <w:p w14:paraId="293FFDF9">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诊断编码的应用场景中，编码 N81.1 与编码区间 N81.2-N81.4 存在使用互斥性，不可同时联合赋值于同一患者的同一次诊疗事件。该规则符合 ICD 编码使用规范中对诊断编码关联性与唯一性的要求，若同时使用两类编码，将导致诊断信息逻辑冲突，不符合医疗编码数据的准确性与规范性标准，影响后续病历质控、医保结算及医疗统计分析的有效性。</w:t>
            </w:r>
          </w:p>
          <w:p w14:paraId="19D2D044">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首先需补充表述完整性，ICD 诊断编码中 “E10.0-E10.” 实际应为 “E10.0-E10.8”，其与编码 E10.9存在使用互斥性，不可同时赋值于同一患者的同一次诊疗事件（如单次住院病历、门诊诊疗记录的诊断编码录入）。该规则符合 ICD 编码使用规范中 “具体分型编码与未特指分型编码不可并存” 的逻辑要求，若同时使用两类编码，会导致诊断信息出现 “既明确细分类型又标注未特指” 的逻辑矛盾，破坏医疗编码数据的准确性与规范性，进而影响后续病历质控、医保费用结算及医疗统计分析的有效性。</w:t>
            </w:r>
          </w:p>
          <w:p w14:paraId="064FFD1C">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诊断编码应用场景中，2 型糖尿病伴特定并发症的细分编码区间 E11.0-E11.8，与 2 型糖尿病未特指并发症的编码 E11.9 存在使用互斥性，不可同时赋值于同一次诊疗事件的诊断记录中。该规则符合 ICD 编码使用规范中 “具体并发症分型编码与未特指并发症编码不可并存” 的逻辑要求，若两类编码同时使用，会导致诊断信息出现 “既明确并发症类型又标注未特指” 的逻辑矛盾，破坏医疗编码数据的准确性与规范性，进而影响后续病历质控、医保费用结算及医疗统计分析的有效性。</w:t>
            </w:r>
          </w:p>
          <w:p w14:paraId="6CE1AADF">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诊断编码的应用场景中，其他特指类型糖尿病伴特定并发症的细分编码区间 E12.0-E12.8，与其他特指类型糖尿病未特指并发症的编码 E12.9 存在使用互斥性，不可同时赋值于同一次诊疗事件的诊断记录。该规则符合 ICD 编码使用规范中 “具体并发症分型编码与未特指并发症编码不可并存” 的逻辑要求，若两类编码同时使用，会导致诊断信息出现 “既明确并发症类型又标注未特指” 的逻辑矛盾，破坏医疗编码数据的准确性与规范性，进而影响后续病历质控、医保费用结算及医疗统计分析的有效性。</w:t>
            </w:r>
          </w:p>
          <w:p w14:paraId="287F0B6E">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诊断编码的应用场景中，未特指类型糖尿病伴特定并发症的细分编码区间 E13.0-E13.8，与未特指类型糖尿病未特指并发症的编码 E13.9 存在使用互斥性，不可同时赋值于同一次诊疗事件的诊断记录。该规则符合 ICD 编码使用规范中 “具体并发症分型编码与未特指并发症编码不可并存” 的逻辑要求，若两类编码同时使用，会导致诊断信息出现 “既明确并发症类型又标注未特指” 的逻辑矛盾，破坏医疗编码数据的准确性与规范性，进而影响后续病历质控、医保费用结算及医疗统计分析的有效性。</w:t>
            </w:r>
          </w:p>
          <w:p w14:paraId="0D583E6E">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首先需补充 ICD 诊断编码表述的完整性。在 ICD 诊断编码的应用场景中（如同一患者的单次住院病历、门诊诊疗记录、医疗统计申报等），未特指糖尿病伴特定并发症的细分编码区间 E14.0-E14.8，与未特指糖尿病未特指并发症的编码 E14.9 存在使用互斥性，不可同时赋值于同一次诊疗事件的诊断记录。该规则符合 ICD 编码使用规范中 “具体并发症分型编码与未特指并发症编码不可并存” 的逻辑要求，若两类编码同时使用，会导致诊断信息出现 “既明确并发症类型又标注未特指” 的逻辑矛盾，破坏医疗编码数据的准确性与规范性，进而影响后续病历质控、医保费用结算及医疗统计分析的有效性。</w:t>
            </w:r>
          </w:p>
          <w:p w14:paraId="61DB1F28">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慢性风湿性心脏病相关编码区间（I05-I09，含慢性风湿性二尖瓣、三尖瓣、主动脉瓣等疾病编码）与非风湿性瓣膜疾病编码区间（I34-I36，含非风湿性二尖瓣、三尖瓣、主动脉瓣疾病编码）存在使用互斥性，不可同时赋值于同一次诊疗事件的诊断记录。该规则符合 ICD 编码规范中 “病因分类与疾病类型需保持唯一性” 的原则，两类编码分别对应 “风湿性” 与 “非风湿性” 两种不同病因的瓣膜疾病，同时使用会导致诊断病因与疾病类型逻辑冲突，破坏医疗编码数据的准确性与规范性，进而影响后续病历质控、医保费用结算及医疗统计分析的有效性。</w:t>
            </w:r>
          </w:p>
          <w:p w14:paraId="3192FADD">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诊断编码的应用场景中，胆囊结石伴急性胆囊炎的编码区间（K80.0-K80.1）与胆囊结石无胆囊炎的编码（K80.2）存在使用互斥性，不可同时赋值于同一次诊疗事件的诊断记录。该规则符合 ICD 编码规范中 “同一病症的不同临床状态需保持唯一性” 的原则，两类编码分别对应 “胆囊结石合并急性胆囊炎” 与 “胆囊结石无胆囊炎” 两种互斥的临床状态，同时使用会导致诊断信息出现临床状态矛盾，破坏医疗编码数据的准确性与规范性，进而影响后续病历质控、医保费用结算及医疗统计分析的有效性。</w:t>
            </w:r>
          </w:p>
          <w:p w14:paraId="6BA3E7C8">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诊断编码的应用场景中，胆囊结石伴慢性胆囊炎的编码区间（K80.3-K80.4）与胆囊结石伴急性和慢性胆囊炎的编码（K80.5）存在使用互斥性，不可同时赋值于同一次诊疗事件的诊断记录。该规则符合 ICD 编码规范中 “同一病症的临床状态需保持唯一性” 的原则，两类编码分别对应 “胆囊结石仅合并慢性胆囊炎” 与 “胆囊结石同时合并急性和慢性胆囊炎” 两种互斥的临床阶段，同时使用会导致诊断信息在病症严重程度与病程阶段上出现逻辑矛盾，破坏医疗编码数据的准确性与规范性，进而影响后续病历质控、医保费用结算及医疗统计分析的有效性。</w:t>
            </w:r>
          </w:p>
          <w:p w14:paraId="6AC1F686">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特定胆囊结石相关胆囊炎编码（K80.0：胆囊结石伴急性胆囊炎，无胆管炎；K80.1：胆囊结石伴急性胆囊炎和胆管炎；K80.4：胆囊结石伴慢性胆囊炎）与非结石性胆囊炎编码（K81：胆囊炎，不含结石相关病因）存在使用互斥性，不可同时赋值于同一次诊疗事件的诊断记录。该规则符合 ICD 编码规范中 “病因分类唯一性” 原则，两类编码分别对应 “结石诱发胆囊炎” 与 “非结石因素导致的胆囊炎” 两种完全不同病因的病症，同时使用会导致诊断病因逻辑冲突，破坏医疗编码数据的准确性与临床诊断的一致性，进而影响后续病历质控、医保费用结算及医疗统计分析的有效性。</w:t>
            </w:r>
          </w:p>
          <w:p w14:paraId="45B6EA5E">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诊断编码的应用场景中，非甲亢性甲状腺相关编码（E04，对应 “非甲亢性甲状腺肿”，特指甲状腺肿大但甲状腺功能无亢进表现的病症）与甲亢性甲状腺相关编码（E05，对应 “甲状腺功能亢进”，含毒性弥漫性甲状腺肿、毒性多结节性甲状腺肿等甲状腺功能异常亢进的病症）存在使用互斥性，不可同时赋值于同一次诊疗事件的诊断记录。该规则符合 ICD 编码规范中 “甲状腺功能状态分类唯一性” 原则，两类编码分别对应 “甲状腺功能正常（非甲亢）” 与 “甲状腺功能亢进” 两种完全相反的甲状腺功能状态，同时使用会导致诊断中甲状腺功能状态逻辑矛盾，破坏医疗编码数据的准确性与临床诊断的一致性，进而影响后续病历质控、医保费用结算及甲状腺疾病相关医疗统计分析的有效性。</w:t>
            </w:r>
          </w:p>
          <w:p w14:paraId="62E54D84">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诊断编码的应用场景中，编码 N94.806（对应女性生殖系统相关病症，如女性盆腔疼痛等特定女性专属病症）存在明确的使用性别禁忌，不可赋值于男性患者的诊疗诊断记录。该规则符合 ICD 编码规范中 “病症与患者生理性别匹配” 的核心原则，男性患者无对应病症发生的生理基础，若违规使用此编码，会导致诊断信息与患者性别逻辑冲突，破坏医疗编码数据的准确性与临床合理性，进而影响后续病历质控、医保费用结算及女性生殖系统疾病相关医疗统计分析的有效性。</w:t>
            </w:r>
          </w:p>
          <w:p w14:paraId="73AE4A5D">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诊断编码的特定应用场景中，需严格遵循编码使用禁忌所有诊疗诊断记录中不得出现 P 开头的 ICD 编码（P00-P99，对应 “起源于围生期的某些情况”，特指新生儿在围生期内发生的疾病、畸形及并发症等）。该规则符合 ICD 编码规范中 “病症编码与诊疗对象、诊疗场景匹配” 的核心原则，P 开头编码的适用对象为围生期新生儿及围生期相关病症，与普通诊疗场景的服务对象、病症类型完全不符，若违规使用会导致编码与临床实际严重脱节，破坏医疗编码数据的准确性与合理性，进而影响病历质控、医保费用结算及医疗统计分析的有效性。</w:t>
            </w:r>
          </w:p>
          <w:p w14:paraId="540B4007">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特定编码区间及单码（B95-B97：细菌性病原体编码；T31-T32：烧伤和腐蚀伤的程度编码；Z37-Z38：妊娠结局编码；Z80-Z99：疾病和损伤个人史编码；Z98：功能状态编码；I49.9：未特指的心律失常编码；U80-U89：特殊监测下发现的异常编码）存在主要诊断使用限制，不得作为本次诊疗事件的主要诊断编码。该规则符合 ICD 编码规范中 “主要诊断需为导致本次住院或诊疗的核心原因” 的核心原则，上述编码或为病因辅助说明、损伤程度描述、既往病史记录，或为结局状态、未特指病症、特殊监测结果，均无法体现本次诊疗的核心目的与主要病因，若违规作为主要诊断，会导致编码逻辑与临床诊疗核心矛盾，破坏医疗编码数据的准确性与诊疗指向性，进而影响病历质控、医保费用结算及医疗统计分析的有效性。</w:t>
            </w:r>
          </w:p>
          <w:p w14:paraId="240064F4">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诊断与手术操作编码的联动应用场景中，需严格遵循编码互斥规则当诊疗记录的主要诊断或其他诊断中出现 O70 编码（对应 “梗阻性分娩”，特指分娩过程中因胎儿、产道或子宫因素导致的分娩梗阻病症）时，手术操作编码不得使用 71.7（对应 “人工剥离胎盘术”，特指手动分离并取出滞留胎盘的手术操作）。该规则符合 ICD 编码规范中 “诊断病症与手术操作适应症逻辑匹配” 的核心原则，O70 编码对应的梗阻性分娩场景，与 71.7 编码对应的 “胎盘滞留” 手术适应症完全不符，两者联用会导致诊断与手术操作逻辑脱节，破坏医疗编码数据的准确性与临床合理性，进而影响病历质控、医保费用结算及产科诊疗相关医疗统计分析的有效性。</w:t>
            </w:r>
          </w:p>
          <w:p w14:paraId="3920B746">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诊断与手术操作编码的联动应用场景中，需严格遵循编码互斥规则当诊疗记录的主要诊断或其他诊断中出现 O71.3 编码（对应 “产褥期子宫内翻”，特指产后发生的子宫体部向宫颈或阴道内翻出的急性病症）时，手术操作编码不得使用 67.6 编码（对应 “子宫裂伤修补术”，特指针对子宫壁裂伤进行的修补手术操作）。该规则符合 ICD 编码规范中 “诊断病症与手术操作适应症逻辑匹配” 的核心原则，O71.3 编码对应的 “子宫内翻” 病症，与 67.6 编码对应的 “子宫裂伤修补” 手术的适应症完全不符，两者联用会导致诊断与手术操作逻辑脱节，破坏医疗编码数据的准确性与临床合理性，进而影响病历质控、医保费用结算及产科诊疗相关医疗统计分析的有效性。</w:t>
            </w:r>
          </w:p>
          <w:p w14:paraId="67FAB8E8">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诊断与手术操作编码的联动应用场景中，需严格遵循编码互斥规则当诊疗记录的主要诊断或其他诊断中出现 O71.4 编码（对应 “产褥期子宫破裂”，特指产后子宫壁完整性中断的急性病症）时，手术操作编码不得使用 70.7 编码（对应 “子宫成形术”，特指针对子宫形态异常、结构缺陷的修复重塑手术，非针对子宫破裂的应急处理术式）。该规则符合 ICD 编码规范中 “诊断病症与手术操作适应症逻辑匹配” 的核心原则，O71.4 对应的 “产褥期子宫破裂” 需专用应急修复术式，与 70.7 对应的 “子宫成形术” 适应症完全不符，两者联用会导致诊断与手术操作逻辑脱节，破坏医疗编码数据的准确性与临床合理性，进而影响病历质控、医保费用结算及产科诊疗相关医疗统计分析的有效性。</w:t>
            </w:r>
          </w:p>
          <w:p w14:paraId="047FDE3F">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特定类型心律失常编码（I44：房室传导阻滞；I45：室内传导阻滞；I47：室上性心动过速；I48：心房颤动和心房扑动；I49.0-I49.8：其他特指类型的心律失常）与未特指类型心律失常编码（I49.9：未特指的心律失常）存在使用互斥性，当诊断记录中已出现上述任意一种特指类型心律失常编码时，不得再同时赋值 I49.9 编码。该规则符合 ICD 编码规范中 “具体分型编码与未特指分型编码不可并存” 的核心原则，特指编码已明确心律失常的具体类型，再联用未特指编码会导致诊断信息出现 “既明确类型又标注未特指” 的逻辑矛盾，破坏医疗编码数据的准确性与规范性，进而影响后续病历质控、医保费用结算及心律失常相关医疗统计分析的有效性。</w:t>
            </w:r>
          </w:p>
          <w:p w14:paraId="73633664">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诊断编码的应用场景中，编码 H25（对应 “年龄相关性白内障”，特指与年龄增长相关的晶状体混浊病症，多见于中老年人群）存在明确的年龄使用禁忌，不得赋值于年龄小于 30 岁的患者诊疗诊断记录。该规则符合 ICD 编码规范中 “病症编码与患者年龄特征匹配” 的核心原则，H25 对应的 “年龄相关性白内障” 发病机制与年龄增长直接相关，30 岁以下人群无该病症典型的年龄发病基础，若违规使用会导致诊断信息与患者年龄逻辑冲突，破坏医疗编码数据的准确性与临床合理性，进而影响后续病历质控、医保费用结算及白内障相关医疗统计分析的有效性。</w:t>
            </w:r>
          </w:p>
          <w:p w14:paraId="2290BB8B">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手术操作编码的应用场景中，特定关节相关手术操作编码（72.1x00：多涉及髋关节置换相关术式；72.2100：多对应膝关节置换相关术式；72.3100：多为肩关节置换相关术式；73.6：对应关节融合术）存在使用互斥性，不可同时赋值于同一次手术操作记录。该规则符合 ICD 手术操作编码规范中 “同一患者单次手术中，术式类型或操作对象互斥的编码不可并存” 的核心原则，上述编码分别对应不同关节的置换术或关节融合术，术式性质与操作靶器官存在显著差异，同时使用会导致手术操作记录出现 “同一手术中实施互斥术式” 的逻辑矛盾，破坏医疗编码数据的准确性与临床手术记录的一致性，进而影响后续手术质控、医保费用结算及关节外科手术相关医疗统计分析的有效性。</w:t>
            </w:r>
          </w:p>
          <w:p w14:paraId="22342F18">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诊断编码的应用场景中，骨质疏松症相关编码区间（M81.000-M81.900，涵盖各类型骨质疏松症，包括原发性、继发性等）与特定病理性骨折编码（M84.4，对应 “病理性骨折，未特指原因”，特指非创伤性、由基础疾病导致的骨结构破坏引发的骨折）存在使用互斥性，不可同时出现在同一诊疗事件的主要诊断与其他诊断中。该规则符合 ICD 编码规范中 “病症分类层级唯一性” 的核心原则，当病理性骨折由骨质疏松症引发时，应直接编码至 M81 系列下的 “骨质疏松性骨折” 亚目，而非单独使用 M84.4；若 M84.4 对应的病理性骨折由其他疾病导致，则与骨质疏松症无关联，两者同时使用会导致诊断病因与病症分类逻辑冲突，破坏医疗编码数据的准确性与临床诊断的一致性，进而影响后续病历质控、医保费用结算及骨病相关医疗统计分析的有效性。</w:t>
            </w:r>
          </w:p>
          <w:p w14:paraId="5EAE3759">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 ICD 诊断编码的应用场景中，特定子宫脱垂编码（N81.1：子宫脱垂，无阴道壁膨出，特指仅子宫位置下降且无阴道壁伴随膨出的情况）与另一组子宫脱垂编码（N81.2-N81.4：子宫脱垂伴阴道壁膨出，涵盖伴阴道前壁、后壁及多部位膨出的不同类型）存在使用互斥性，不可同时出现在同一诊疗事件的主要诊断与其他诊断中。该规则符合 ICD 编码规范中 “同一病症的临床特征唯一性” 的核心原则，两类编码均对应子宫脱垂这一病症，但分别代表 “无阴道壁膨出” 与 “有阴道壁膨出” 两种完全互斥的临床表现形式，同时使用会导致诊断信息在病症伴随特征上出现逻辑矛盾，破坏医疗编码数据的准确性与临床诊断的一致性，进而影响后续病历质控、医保费用结算及妇科盆底疾病相关医疗统计分析的有效性。</w:t>
            </w:r>
          </w:p>
          <w:p w14:paraId="097CE86B">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在中医病历编码与诊断填写的规范应用场景中，需严格遵循以下规则：中医主病编码必须使用 A 开头的中医码，中医治法编码需使用 B 开头或 C 开头的中医码，且中医主病编码与对应的中医治法编码需满足一一对应关系；同时，每份病历的门诊诊断中，中医主病与中医主证为必填项，出院诊断中则需额外增加中医治法作为必填项，确保中医诊疗信息的完整性与编码逻辑的规范性。该规则符合中医病历书写与编码管理的核心要求，可避免中医诊疗信息缺失或编码错配，保障中医病历数据的准确性、标准化，进而支撑后续中医临床质控、诊疗数据分析及医保结算等工作的有序开展。</w:t>
            </w:r>
          </w:p>
          <w:p w14:paraId="4DB12956">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在医疗文书、人口健康档案、诊疗登记等需填写职业信息的场景中，需严格遵循年龄与职业的强制对应规则：年龄为 3 岁以下的人员，其职业信息应统一填写为 “无业人员”；年龄处于 3 岁（含）至 14 岁（含）区间的人员，其职业信息应统一填写为 “学生”。该规则符合 “职业信息与年龄阶段实际社会角色匹配” 的核心数据规范原则，3 岁以下人员无独立社会职业属性，3-14 岁人员多处于义务教育阶段，此阶段社会角色以 “学生” 为主，若违反对应规则会导致职业信息与年龄逻辑脱节，破坏数据准确性与合理性，进而影响后续人口健康统计、诊疗人群分类管理及相关数据分析工作的有效性。</w:t>
            </w:r>
          </w:p>
          <w:p w14:paraId="609AE4B2">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在医疗费用核算系统、诊疗记录数据校验等场景中，需执行如下数据逻辑校验规则：当某诊疗记录中 “中医辨证治疗费”“中医辨证治疗会诊费”“中医类费用”“中药类费用” 四项费用的合计金额为 0，且当前填写的 “治疗类别” 不为 “西医” 时，系统需自动触发提醒机制，弹出提示内容 “治疗类别是否为西医”。该规则符合 “治疗类别与费用属性匹配” 的核心数据校验原则，四项中医相关费用合计为 0 意味着无中医诊疗支出，此时若治疗类别非西医，易存在治疗类别填写偏差，通过触发提醒可及时修正数据，避免诊疗记录与费用信息逻辑脱节，保障医疗数据准确性，进而支撑后续医保费用结算、诊疗行为统计等工作的有序开展。</w:t>
            </w:r>
          </w:p>
          <w:p w14:paraId="5377F34C">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在医疗输血记录、诊疗数据填报、血液使用登记等涉及血液成分及自体血回输用量记录的场景中，需严格遵循填写规范：针对 “红细胞”“血小板”“血浆”“全血”“自体血回输” 的用量记录项，仅允许填写数字，禁止填写任何字母及汉字。该规则符合医疗数据标准化填写的核心要求，可避免因填写格式混乱导致的数据解读偏差，保障血液使用记录的准确性与统一性，进而支撑后续输血质量控制、医疗费用核算及血液管理统计等工作的有序开展。</w:t>
            </w:r>
          </w:p>
          <w:p w14:paraId="1CE41F79">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在医疗档案、家庭关系登记、诊疗关联亲属信息填报等需记录亲属关系的场景中，需严格遵循年龄与亲属关系的匹配限制规则：年龄大于 65 岁的人员，其亲属关系字段不得填写 “父母”“祖父母”；年龄小于 30 岁的人员，其亲属关系字段不得填写 “子”“女”“孙子”“孙女”“外孙子”“外孙女”。该规则符合 “亲属角色与年龄阶段逻辑匹配” 的核心数据规范原则，避免因年龄与亲属角色严重不符（如 65 岁以上人员通常不具备 “父母”“祖父母” 的角色年龄合理性，30 岁以下人员通常不具备 “子女”“孙辈” 的角色年龄合理性）导致数据逻辑矛盾，保障亲属关系信息的准确性与合理性，进而支撑后续家庭医疗关联管理、人口信息统计等工作的有序开展。</w:t>
            </w:r>
          </w:p>
          <w:p w14:paraId="743B1E89">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诊断信息引用场景中（如病历内容摘录、诊断结论复用、诊疗数据汇总等），存在操作偏差：引用诊断信息时，误将上级医师签名一并纳入引用范围，而依据规范要求，实际引用过程中无需包含上级医师签名。该规则符合 “诊断引用内容需聚焦核心医疗信息” 的原则，上级医师签名属于诊疗责任确认标识，并非诊断结论的组成部分，多余引用会导致诊断信息冗余，甚至干扰核心医疗数据的准确性，影响后续诊疗信息核对、病历质控及医疗数据统计分析的效率。</w:t>
            </w:r>
          </w:p>
          <w:p w14:paraId="1001D310">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在病历浏览查询界面的功能优化场景中，当前界面已配置首次病程记录（首记）、出院记录的书写者标识功能；为支撑术前小结书写工作量的精准统计，建议在该界面新增 “术前小结书写者” 标识字段。此调整可完善医疗文书书写者信息的展示维度，为后续书写人员工作量核算、科室绩效统计等管理工作提供直接数据支撑，避免因信息缺失导致的统计偏差，提升工作效率。</w:t>
            </w:r>
          </w:p>
          <w:p w14:paraId="66E0F58F">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在医疗系统入院记录管理场景中，存在入院记录诊断信息跨界面显示不一致的问题：从 “病案浏览界面” 进入查看的入院记录诊断，与从 “临床医生病人管理界面” 进入查看的同一入院记录诊断，二者内容存在差异。该问题违背 “同一医疗文书核心信息在不同系统界面应保持一致” 的原则，可能导致医护人员获取诊断信息偏差，干扰诊疗决策一致性，同时影响病案质控、医疗数据统计的准确性，增加后续信息核对的工作量。</w:t>
            </w:r>
          </w:p>
          <w:p w14:paraId="175320CB">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质控报表应用场景中，当前质控报表存在内容为空的问题，导致无法正常开展数据统计工作；为解决此问题，需在现有质控报表功能基础上新增病历统计功能，以完善质控数据统计维度，确保质控数据统计工作的顺利推进，为后续质控分析、工作成效评估等管理工作提供有效数据支撑。</w:t>
            </w:r>
          </w:p>
          <w:p w14:paraId="471683E2">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在入院中医四诊信息录入模块的功能优化场景中，针对 “毛发润泽” 等中医四诊描述项，建议将其调整为选择性录入模式，即点击该描述项后可从预设选项中完成选择操作。此调整可规范中医四诊信息的录入标准，减少手动输入导致的表述偏差，同时提升医护人员的信息填写效率，为后续中医诊疗数据的统一统计与分析提供标准化数据支撑。</w:t>
            </w:r>
          </w:p>
          <w:p w14:paraId="6E19FA71">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在医疗会诊病历书写场景中，存在会诊医师职称信息无法明确的情况，而依据病历书写规范，会诊医师职称属于必填内容，二者形成信息填写矛盾。该矛盾会导致会诊相关病历内容不完整，不符合病历书写标准化要求，既影响病案质控工作的正常推进，也可能对后续会诊诊疗信息的追溯、核查造成阻碍。</w:t>
            </w:r>
          </w:p>
          <w:p w14:paraId="53E10E3C">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完善首页根据患者数据自动生成功能，建立智能化的数据提取和计算模型。根据患者的基本信息、诊疗过程、费用明细等数据，自动准确计算并填写地址、治疗类别（根据中医类费用等准确判断中西医治疗类别）、使用院内制剂、中医诊疗设备、中医诊疗技术、一级二级三级护理的天数等内容。减少人工填写工作量，提高首页数据的准确性和规范性，为医疗统计、医保结算和医院管理提供可靠的数据基础。</w:t>
            </w:r>
          </w:p>
          <w:p w14:paraId="57663DB2">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病历系统填写过敏药物，在医嘱系统里没有同步更新，有安全隐患，没办法完成。</w:t>
            </w:r>
          </w:p>
          <w:p w14:paraId="4BAD62FF">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会诊医师签署相关文书时，可附带其职称信息。</w:t>
            </w:r>
          </w:p>
          <w:p w14:paraId="16FF1516">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临床路径当日完成执行后，不再触发弹窗提示，避免每次打开相关界面时重复弹窗。</w:t>
            </w:r>
          </w:p>
          <w:p w14:paraId="1611D70F">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门诊场景下调用既往中药处方时，其用法用量将自动变更。</w:t>
            </w:r>
          </w:p>
          <w:p w14:paraId="56D3A069">
            <w:pPr>
              <w:numPr>
                <w:ilvl w:val="0"/>
                <w:numId w:val="6"/>
              </w:numPr>
              <w:ind w:firstLine="640"/>
              <w:rPr>
                <w:rFonts w:hint="eastAsia" w:ascii="宋体" w:hAnsi="宋体" w:eastAsia="宋体" w:cs="宋体"/>
                <w:sz w:val="24"/>
                <w:szCs w:val="24"/>
              </w:rPr>
            </w:pPr>
            <w:r>
              <w:rPr>
                <w:rFonts w:hint="eastAsia" w:ascii="宋体" w:hAnsi="宋体" w:eastAsia="宋体" w:cs="宋体"/>
                <w:sz w:val="24"/>
                <w:szCs w:val="24"/>
              </w:rPr>
              <w:t>门诊病历未录入中医诊断时，若引用含中医诊断信息的模板或既往病历，该中医诊断信息将保留且未支持手动移除。</w:t>
            </w:r>
          </w:p>
          <w:p w14:paraId="44519144">
            <w:pPr>
              <w:numPr>
                <w:ilvl w:val="0"/>
                <w:numId w:val="6"/>
              </w:numPr>
              <w:ind w:firstLine="640"/>
              <w:rPr>
                <w:rFonts w:hint="eastAsia" w:ascii="宋体" w:hAnsi="宋体" w:eastAsia="宋体" w:cs="宋体"/>
                <w:bCs/>
                <w:spacing w:val="9"/>
                <w:sz w:val="24"/>
                <w:szCs w:val="24"/>
              </w:rPr>
            </w:pPr>
            <w:r>
              <w:rPr>
                <w:rFonts w:hint="eastAsia" w:ascii="宋体" w:hAnsi="宋体" w:eastAsia="宋体" w:cs="宋体"/>
                <w:sz w:val="24"/>
                <w:szCs w:val="24"/>
              </w:rPr>
              <w:t>门诊医生工作站通过便捷的方式获取电子病历系统中的患者信息。</w:t>
            </w:r>
          </w:p>
          <w:p w14:paraId="4B5B0720">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医技科室系统</w:t>
            </w:r>
          </w:p>
          <w:p w14:paraId="1190C734">
            <w:pPr>
              <w:numPr>
                <w:ilvl w:val="0"/>
                <w:numId w:val="7"/>
              </w:numPr>
              <w:ind w:firstLine="640"/>
              <w:rPr>
                <w:rFonts w:hint="eastAsia" w:ascii="宋体" w:hAnsi="宋体" w:eastAsia="宋体" w:cs="宋体"/>
                <w:sz w:val="24"/>
                <w:szCs w:val="24"/>
              </w:rPr>
            </w:pPr>
            <w:r>
              <w:rPr>
                <w:rFonts w:hint="eastAsia" w:ascii="宋体" w:hAnsi="宋体" w:eastAsia="宋体" w:cs="宋体"/>
                <w:sz w:val="24"/>
                <w:szCs w:val="24"/>
              </w:rPr>
              <w:t>为精准核算超声科室工作效能、规范工作量统计管理，需完善超声工作量统计体系，实现 “每天 - 每个人分值 - 部位” 全要素覆盖。</w:t>
            </w:r>
          </w:p>
          <w:p w14:paraId="0CE49D9C">
            <w:pPr>
              <w:numPr>
                <w:ilvl w:val="0"/>
                <w:numId w:val="7"/>
              </w:numPr>
              <w:ind w:firstLine="640"/>
              <w:rPr>
                <w:rFonts w:hint="eastAsia" w:ascii="宋体" w:hAnsi="宋体" w:eastAsia="宋体" w:cs="宋体"/>
                <w:sz w:val="24"/>
                <w:szCs w:val="24"/>
              </w:rPr>
            </w:pPr>
            <w:r>
              <w:rPr>
                <w:rFonts w:hint="eastAsia" w:ascii="宋体" w:hAnsi="宋体" w:eastAsia="宋体" w:cs="宋体"/>
                <w:sz w:val="24"/>
                <w:szCs w:val="24"/>
              </w:rPr>
              <w:t>为保障报告内容的标准化、提升填写效率与数据质量，需优化报告模板设计，增设下拉框控件。</w:t>
            </w:r>
          </w:p>
          <w:p w14:paraId="0AACFE9E">
            <w:pPr>
              <w:numPr>
                <w:ilvl w:val="0"/>
                <w:numId w:val="7"/>
              </w:numPr>
              <w:ind w:firstLine="640"/>
              <w:rPr>
                <w:rFonts w:hint="eastAsia" w:ascii="宋体" w:hAnsi="宋体" w:eastAsia="宋体" w:cs="宋体"/>
                <w:sz w:val="24"/>
                <w:szCs w:val="24"/>
              </w:rPr>
            </w:pPr>
            <w:r>
              <w:rPr>
                <w:rFonts w:hint="eastAsia" w:ascii="宋体" w:hAnsi="宋体" w:eastAsia="宋体" w:cs="宋体"/>
                <w:sz w:val="24"/>
                <w:szCs w:val="24"/>
              </w:rPr>
              <w:t>为精准掌握各临床科室诊疗工作质量、清晰评估各医生专业诊疗能力，同时系统分析不同检查部位的阳性检出规律，需新增并完善 “多维度阳性率统计” 功能。</w:t>
            </w:r>
          </w:p>
          <w:p w14:paraId="7A2CC478">
            <w:pPr>
              <w:numPr>
                <w:ilvl w:val="0"/>
                <w:numId w:val="7"/>
              </w:numPr>
              <w:ind w:firstLine="640"/>
              <w:rPr>
                <w:rFonts w:hint="eastAsia" w:ascii="宋体" w:hAnsi="宋体" w:eastAsia="宋体" w:cs="宋体"/>
                <w:sz w:val="24"/>
                <w:szCs w:val="24"/>
              </w:rPr>
            </w:pPr>
            <w:r>
              <w:rPr>
                <w:rFonts w:hint="eastAsia" w:ascii="宋体" w:hAnsi="宋体" w:eastAsia="宋体" w:cs="宋体"/>
                <w:sz w:val="24"/>
                <w:szCs w:val="24"/>
              </w:rPr>
              <w:t>当前超声病例管理系统暂未配置随访功能模块，而随访功能是实现超声检查后患者病情动态跟踪、诊疗效果评估及医疗质量持续改进的关键支撑，该功能缺失导致超声病例管理不符合三级医院评审（三甲评审）中关于病案管理需涵盖患者随访管理的相关标准要求。</w:t>
            </w:r>
          </w:p>
          <w:p w14:paraId="6DE03FFD">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运营管理系统（HRP）</w:t>
            </w:r>
          </w:p>
          <w:p w14:paraId="1AA18478">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为规范医疗消毒与物品更换环节的记录管理、提升单据追溯性与打印一致性，需对追溯系统功能进行优化。</w:t>
            </w:r>
          </w:p>
          <w:p w14:paraId="53C3E5C4">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为提升物品入库数据的规范性与可追溯性，强化平台对账工作的精准度与效率，需对物品入库汇总报表进行功能优化，新增 UDI 编码（唯一器械标识编码）显示字段。</w:t>
            </w:r>
          </w:p>
          <w:p w14:paraId="411CFD5E">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在 HRP 系统药械仓库模块的物品管理功能项下，执行耗材目录导出操作时，需新增 “物品创建时间” 字段；通过该字段可基于创建时间维度精准筛选当年新增的耗材品种，为后续精准编制年度耗材目录提供结构化数据支撑，既提升年度耗材目录编制的效率与准确性，又保障目录数据与当年实际新增耗材品类的一致性，符合药械耗材精细化管理及年度业务数据统计的规范要求。</w:t>
            </w:r>
          </w:p>
          <w:p w14:paraId="20BD17D8">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在科室发放汇总管理环节，当前系统仅能呈现每日发放明细数据，尚未配置覆盖指定周期的总览性发放汇总表；该情况导致无法快速直观掌握指定周期内科室发放的整体情况，不仅增加了人工统计核算的工作量，也不利于及时开展发放数据的复盘分析与后续资源调配优化，不符合科室发放管理精细化、高效化的要求。</w:t>
            </w:r>
          </w:p>
          <w:p w14:paraId="5910A9D3">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在设备灭菌统计管理工作中，当前设备灭菌统计报表仅支持以自然日为单位呈现明细数据，尚未配置覆盖指定周期的总览性灭菌汇总表。该报表功能现状导致无法快速直观掌握指定周期内设备灭菌的整体情况，不仅增加了人工汇总统计的工作量与时间成本，还不利于及时开展设备灭菌工作的质量复盘、效率分析及后续灭菌资源的合理调配，不符合设备灭菌统计精细化、高效化的管理要求。</w:t>
            </w:r>
          </w:p>
          <w:p w14:paraId="3F65FAC5">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在清洗设备清洗情况统计管理工作中，当前清洗设备清洗情况统计报表仅支持以自然日为单位呈现明细数据，尚未配置覆盖指定周期的总览性清洗情况汇总表。该报表功能现状导致无法快速直观掌握指定周期内清洗设备的整体清洗情况，不仅增加了人工汇总统计的工作量与时间成本，还不利于及时开展清洗工作质量复盘、清洗效率分析及后续清洗资源的合理调配，不符合清洗设备管理精细化、高效化的要求。</w:t>
            </w:r>
          </w:p>
          <w:p w14:paraId="7086D22F">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在人员工作量统计管理工作中，当前人员工作量统计仅支持以自然日为单位呈现明细数据，尚未配置覆盖指定周期的总览性工作量汇总表。该统计模式导致无法快速直观掌握指定周期内各人员的整体工作产出情况，不仅增加了人工进行周期汇总统计的工作量与时间成本，还不利于高效开展人员绩效评估、工作任务复盘及后续工作资源的合理分配，不符合人员工作量统计精细化、高效化的管理要求。</w:t>
            </w:r>
          </w:p>
          <w:p w14:paraId="34676065">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在科室医用包过期管理统计工作中，当前仅能以自然日为单位呈现医用包过期明细数据，尚未配置覆盖指定周期的医用包过期总览汇总表。该统计模式导致无法快速直观掌握指定周期内科室医用包过期的整体情况，不仅增加了人工进行周期汇总统计的工作量与时间成本，还不利于及时开展医用包过期原因复盘、库存周转优化及过期风险前置管控，不符合医用耗材过期管理精细化、规范化的要求。</w:t>
            </w:r>
          </w:p>
          <w:p w14:paraId="4CB80863">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在仓库医用包库存管理环节，过期预警是保障医用包使用安全、避免耗材浪费、落实医用耗材效期精细化管理的关键支撑。当前需重点完善仓库医用包过期预警机制（或系统功能），基于医用包入库时登记的效期信息，预设科学合理的预警阈值（如提前指定天数），当医用包临近失效日期时，自动触发预警提示并同步推送至仓库管理人员，确保及时开展效期核查、优先调配使用或合规处置工作。该机制的建立与运行，可有效防范过期医用包流入临床使用环节，符合医用耗材效期管理相关规范要求，切实保障医疗安全与库存管理效率。</w:t>
            </w:r>
          </w:p>
          <w:p w14:paraId="1FCEFB54">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科室医用包过期预警，过期时间无按顺序显示，应按就近时间顺序显示，减少工作量并且可起到提醒警示作用</w:t>
            </w:r>
            <w:r>
              <w:rPr>
                <w:rFonts w:hint="eastAsia" w:ascii="宋体" w:hAnsi="宋体" w:eastAsia="宋体" w:cs="宋体"/>
                <w:sz w:val="24"/>
                <w:szCs w:val="24"/>
                <w:lang w:eastAsia="zh-CN"/>
              </w:rPr>
              <w:t>。</w:t>
            </w:r>
          </w:p>
          <w:p w14:paraId="3ADCB29C">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科室医用包过期预警，器械有码，但系统显示无数据，经常出现</w:t>
            </w:r>
            <w:r>
              <w:rPr>
                <w:rFonts w:hint="eastAsia" w:ascii="宋体" w:hAnsi="宋体" w:eastAsia="宋体" w:cs="宋体"/>
                <w:sz w:val="24"/>
                <w:szCs w:val="24"/>
                <w:lang w:eastAsia="zh-CN"/>
              </w:rPr>
              <w:t>。</w:t>
            </w:r>
          </w:p>
          <w:p w14:paraId="295119D0">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科室医用包过期预警，系统要求一定要在过期当天报单，但是实际工作是过期包当天不能使用，需在前一天检查出来并送消。与实际工作不符。应设置前一天可报单。</w:t>
            </w:r>
          </w:p>
          <w:p w14:paraId="1275D010">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消毒管理→消毒过程→使用：输入或扫码时，经常出现无数据，影响工作。每天都出现这个情况，多次反映。</w:t>
            </w:r>
          </w:p>
          <w:p w14:paraId="0FE7F267">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每一台手术器械使用，都需要进入两个页面填写表格。但手术时间非常紧迫，造成护士工作量的增多，流程繁琐。应将两个页面合在一个页面操作，优化填写流程。可在使用单所有填写后再点击送消等，以起到“消毒单列表”该作用。对于手术时间短的手术无法及时填写，但不及时填写，供应室诉回收后无法采集器械包的数据。</w:t>
            </w:r>
          </w:p>
          <w:p w14:paraId="0EB771CE">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所有需要输入码的环节都需要非常久的时间才能显示码，非常影响工作进度。</w:t>
            </w:r>
          </w:p>
          <w:p w14:paraId="0AB01870">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用扫码枪扫码，会经常出现和实际不一致，非常影响工作进度，影响工作的准确性。</w:t>
            </w:r>
          </w:p>
          <w:p w14:paraId="40E08BC3">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设置接收时灭菌器械的扫码功能，不需要人工核对。</w:t>
            </w:r>
          </w:p>
          <w:p w14:paraId="562ADB5E">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可有回收器械汇总表。</w:t>
            </w:r>
          </w:p>
          <w:p w14:paraId="6A31A8C9">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手术室的器械及植入物的追溯基本运行正常、余其他临床科室的侵入性器械如小手术包、产科接生器械包、人流包、上环包和活检包等尚没有病人的使用记录。主要原因是：操作流程要开具手术申请单才能填写使用记录，而临床科室的小手术及产科接生分娩等，在实际工作中不用开具手术申请单，因此使用科室填写不了手术申请单及病人使用记录</w:t>
            </w:r>
            <w:r>
              <w:rPr>
                <w:rFonts w:hint="eastAsia" w:ascii="宋体" w:hAnsi="宋体" w:eastAsia="宋体" w:cs="宋体"/>
                <w:sz w:val="24"/>
                <w:szCs w:val="24"/>
                <w:lang w:eastAsia="zh-CN"/>
              </w:rPr>
              <w:t>。</w:t>
            </w:r>
          </w:p>
          <w:p w14:paraId="1165E4C0">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低温灭菌的器械尚未接入追溯系统。</w:t>
            </w:r>
          </w:p>
          <w:p w14:paraId="4B378BC0">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各科室器械包的追溯；消毒单设了基数，超过基数就报不了数。</w:t>
            </w:r>
          </w:p>
          <w:p w14:paraId="67FBCC31">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手术室这部分流程需优化，不需要术前清点、关前清点及术后清点，使用病人信息登记后直接到回收。</w:t>
            </w:r>
          </w:p>
          <w:p w14:paraId="0F574A3E">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科室发放汇总：只有每天的明细，没有总的汇总表。</w:t>
            </w:r>
          </w:p>
          <w:p w14:paraId="2D548F31">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设备灭菌统计报表：只有每天的明细，没有总的汇总表。</w:t>
            </w:r>
          </w:p>
          <w:p w14:paraId="716C07B7">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清洗设备清洗情况统计：只有每天的明细，没有总的汇总表。</w:t>
            </w:r>
          </w:p>
          <w:p w14:paraId="75D02D23">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人员工作量统计：只有每天的明细，没有总的汇总表。</w:t>
            </w:r>
          </w:p>
          <w:p w14:paraId="7A1A206D">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科室医用包过期：只有每天的明细，没有总的汇总表。</w:t>
            </w:r>
          </w:p>
          <w:p w14:paraId="085E1BE7">
            <w:pPr>
              <w:numPr>
                <w:ilvl w:val="0"/>
                <w:numId w:val="8"/>
              </w:numPr>
              <w:ind w:firstLine="640"/>
              <w:rPr>
                <w:rFonts w:hint="eastAsia" w:ascii="宋体" w:hAnsi="宋体" w:eastAsia="宋体" w:cs="宋体"/>
                <w:sz w:val="24"/>
                <w:szCs w:val="24"/>
              </w:rPr>
            </w:pPr>
            <w:r>
              <w:rPr>
                <w:rFonts w:hint="eastAsia" w:ascii="宋体" w:hAnsi="宋体" w:eastAsia="宋体" w:cs="宋体"/>
                <w:sz w:val="24"/>
                <w:szCs w:val="24"/>
              </w:rPr>
              <w:t>仓库医用包过期预警：</w:t>
            </w:r>
          </w:p>
          <w:p w14:paraId="4112AA3F">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移动护理</w:t>
            </w:r>
          </w:p>
          <w:p w14:paraId="7F4C1E5F">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暂未建立完善的不良事件分析报告体系，为切实支撑医疗质量安全持续改进、落实不良事件闭环管理要求，需构建覆盖多周期的不良事件分析报告机制，明确需定期生成月度、季度及年度不良事件分析报告。报告需围绕不良事件开展多维度结构化分析，并运用根本原因分析科学质量改进工具，精准定位不良事件发生的核心原因，同时结合原因分析结果提出针对性、可落地的整改建议，形成完整的管理闭环。</w:t>
            </w:r>
          </w:p>
          <w:p w14:paraId="52187B41">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当前不良事件上报系统的状态筛选模块，仅支持 “全部” 这一单一筛选选项，无法满足用户对不同处理进度、不同流转阶段事件的精准查询需求，一定程度上影响了业务数据检索效率与管理便利性。为进一步提升系统实用性与业务适配性，建议补充完善筛选维度：一方面，可按事件处理进度增设 “已完成”“未完成”“处理中” 等选项，便于快速定位不同完成状态的上报事件；另一方面，可按事件全流程轨迹设置筛选条件，覆盖事件从发起上报、审核校验、处置跟进到归档闭环的关键节点，支持用户按具体业务环节查询对应事件数据，更好支撑不良事件的精细化管理工作。</w:t>
            </w:r>
          </w:p>
          <w:p w14:paraId="2072D5BE">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当前系统中，不良事件报告处理单暂不支持直接打印功能。若需打印该单据，需先执行另存操作，再通过保存后的文件完成打印流程。</w:t>
            </w:r>
          </w:p>
          <w:p w14:paraId="6682F178">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建议将不良事件汇总表单中的报告时间，调整为以事件轨迹中 “提交” 环节的时间为准。</w:t>
            </w:r>
          </w:p>
          <w:p w14:paraId="1682A883">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当前系统内，质量管理板块的 “查询统计” 功能及 “护理查房” 功能暂未启用，相关功能模块尚未进入实际应用阶段。</w:t>
            </w:r>
          </w:p>
          <w:p w14:paraId="0C5291D8">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在质量管理板块下的三级质量模块中，“护理质量检查小结”“三级质控问题汇总”“检查表单统计表” 三项功能暂未启用，相关功能模块当前尚未进入实际应用阶段。</w:t>
            </w:r>
          </w:p>
          <w:p w14:paraId="247C2C45">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护理质量巡查情况汇总表在数据呈现上，未能实现住院号与相应存在问题的对应关联，当前所有住院号均被整合于同一区域内展示。</w:t>
            </w:r>
          </w:p>
          <w:p w14:paraId="07D2649D">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当前系统中，质控小组管理的相关权限尚未配置给护理部，这在一定程度上不利于护理部开展相关工作。同时，系统在权限管理方面频繁出现异常情况，对日常工作效率造成了影响。</w:t>
            </w:r>
          </w:p>
          <w:p w14:paraId="720D0E7C">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当前系统内，“在职护士档案”“离休、退休人员查询”“护理进修生名册”“护理实习生名册” 四类模块暂不支持编辑录入操作，导致相关护理人员信息无法及时更新与维护。为保障护理人员信息管理工作的准确性与高效性，建议为护理部配置上述模块的对应权限，使护理部具备对四类档案的编辑及管理权限，以满足日常信息维护需求。</w:t>
            </w:r>
          </w:p>
          <w:p w14:paraId="0002D12F">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档案管理模块中，护理人员年龄数据存在动态更新异常问题，未能随日期变化实现自动更正，导致年龄信息无法同步反映实际时间推移后的准确情况。依据系统数据管理的常规逻辑，护理人员年龄应通过后台程序自动读取其档案中 “出生年月日” 字段的基础信息，实时计算并生成对应年龄数据，以此确保年龄信息与实际日期同步更新，保障护理人员档案数据的准确性、时效性及管理规范性。</w:t>
            </w:r>
          </w:p>
          <w:p w14:paraId="3FEA5487">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护理不良事件查看场景下，仅支持在指定界面读取填写内容，存在信息查阅局限。为提升信息获取效率与使用便利性，建议优化功能设计，实现查看护理不良事件时直接展示完整填写内容，无需依赖单一指定界面进行读取操作，以更好满足日常业务中快速获取事件详情的需求。</w:t>
            </w:r>
          </w:p>
          <w:p w14:paraId="1926FD10">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针对病区护士长填写病区整改内容的场景，建议对现有填写模块进行优化，将 “原因分析” 与 “整改措施”的填写区域进行明确分开设计。通过该逻辑划分，可进一步提升病区整改内容填写的条理性与规范性，便于清晰区分问题根源分析与具体整改方案，也为后续整改工作的跟踪、核查提供更清晰的信息支撑。</w:t>
            </w:r>
          </w:p>
          <w:p w14:paraId="09531237">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在不良事件查询界面中，护理部开展整改情况审核工作时，初始选定的日期查询范围为 1 月 1 日至 2 月 29 日（当日日期为 2 月 29 日）。待护理部完成表单处理操作并点击返回键后，界面自动加载的日期范围发生变更，由初始设定的 “1 月 1 日 - 2 月 29 日” 调整为 “2 月 1 日 - 2 月 29 日”，与初始查询范围不一致，影响查询操作的连贯性与数据检索准确性。</w:t>
            </w:r>
          </w:p>
          <w:p w14:paraId="2383A2C9">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为保障不良事件处理全流程的可追溯性，满足业务中档案留存、流程核查等实际需求，建议对不良事件现有打印功能进行优化，在打印内容中新增处理流程轨迹信息（如各环节处理节点、处理时间、处理人员及操作内容等），进一步提升打印资料的信息完整性与实用价值，更好支撑不良事件管理工作的规范化开展。</w:t>
            </w:r>
          </w:p>
          <w:p w14:paraId="04ECA079">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当前不良事件相关表格暂未纳入 “不良事件严重程度分级” 信息，不利于对不良事件按风险等级开展分类统计、优先级处置及针对性风险防控工作。为进一步提升不良事件管理的精细化与规范化水平，建议在不良事件表格中补充增设 “不良事件严重程度分级” 字段（可依据行业标准或内部管理规范明确分级类别，如一般、较重、严重等），以完善表格信息维度，为不良事件的风险评估、数据研判及后续整改措施制定提供清晰依据，更好支撑不良事件全流程管理工作。</w:t>
            </w:r>
          </w:p>
          <w:p w14:paraId="16538C17">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当前系统内 “护理人员管理” 模块暂未启用。针对该模块启用后可能涉及的相关问题，计划待模块对接工作完成后，再就具体问题展开商议并明确后续处理方案，以确保模块启用后能够适配实际业务需求，保障护理人员管理工作的顺畅开展。</w:t>
            </w:r>
          </w:p>
          <w:p w14:paraId="34B29586">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 PDA 设备在临床应用过程中存在功能短板，具体表现为：一是暂不支持查看病人检查明细结果，导致医护人员无法实时获取患者检查数据，影响诊疗判断与护理操作的及时性；二是缺乏执行提醒功能，难以对临床医嘱执行、护理操作等关键环节形成有效时间预警，可能增加操作延误或遗漏风险；三是部分现有功能与临床实际工作需求存在脱节，未能有效适配医护人员在患者管理、流程执行等场景下的核心操作需求，对临床工作效率提升及服务质量保障造成一定影响。</w:t>
            </w:r>
          </w:p>
          <w:p w14:paraId="62A12E49">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 Q8h 治疗单扫码操作过程中，系统暂不具备区分不同时间点的功能。由于 Q8h 治疗需固定时间间隔执行，该功能缺失导致医护人员无法通过扫码精准识别当前需执行的治疗时间节点，既影响治疗执行的时间精准性，也不利于后续对各时间点治疗执行情况的记录追溯与合规性管理，对临床治疗流程的规范性造成一定影响。</w:t>
            </w:r>
          </w:p>
          <w:p w14:paraId="32B5246A">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当前科室白板所展示的值班人员名单，始终无法与系统内值班排版信息实现同步更新。该问题导致白板呈现的值班人员信息与系统最新排版内容存在偏差，无法实时反映科室值班安排的调整情况，可能影响值班工作交接的准确性及日常排班管理的顺畅性。</w:t>
            </w:r>
          </w:p>
          <w:p w14:paraId="0315A35A">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支持护理人员管理。</w:t>
            </w:r>
          </w:p>
          <w:p w14:paraId="4C63D004">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支持质量分析报告，实现月度、季度、年度分析报告，分析报告应该要多维度的分析。</w:t>
            </w:r>
          </w:p>
          <w:p w14:paraId="02F98A91">
            <w:pPr>
              <w:numPr>
                <w:ilvl w:val="0"/>
                <w:numId w:val="9"/>
              </w:numPr>
              <w:ind w:firstLine="640"/>
              <w:rPr>
                <w:rFonts w:hint="eastAsia" w:ascii="宋体" w:hAnsi="宋体" w:eastAsia="宋体" w:cs="宋体"/>
                <w:sz w:val="24"/>
                <w:szCs w:val="24"/>
              </w:rPr>
            </w:pPr>
            <w:r>
              <w:rPr>
                <w:rFonts w:hint="eastAsia" w:ascii="宋体" w:hAnsi="宋体" w:eastAsia="宋体" w:cs="宋体"/>
                <w:sz w:val="24"/>
                <w:szCs w:val="24"/>
              </w:rPr>
              <w:t>建全不良事件分析数据功能，根据护理需求增设相应功能，如护理敏感数据提取，护士培训平台，护理人力资源管理等等。</w:t>
            </w:r>
          </w:p>
          <w:p w14:paraId="50E5C093">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医保控费系统</w:t>
            </w:r>
          </w:p>
          <w:p w14:paraId="576E1CFF">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在医保业务系统的实际操作场景中，医保结算清单的检索功能存在响应效率偏低的问题，当前搜索速度难以满足医保结算审核、数据查询及业务数据调取等场景下的高效操作需求，可能对医保业务整体处理效率产生影响。</w:t>
            </w:r>
          </w:p>
          <w:p w14:paraId="7403365D">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系统频繁出现登录失败现象，错误提示为 “Unable to find instance for hospital service”（无法找到医院服务实例），该问题已对用户正常访问系统造成持续性影响，需针对服务实例发现机制或配置异常进行排查处理。</w:t>
            </w:r>
          </w:p>
          <w:p w14:paraId="0E3A1658">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医保中心数据采集环节存在采集效率偏低、采集失败频发的问题，且该过程中频繁触发医保接口异常提示，对数据获取的及时性及相关业务流程的连续性造成影响。</w:t>
            </w:r>
          </w:p>
          <w:p w14:paraId="599C82C5">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医保中心数据采集过程中存在数据项缺失现象，典型表现如主诊信息缺失，对采集数据的完整性及后续业务应用造成影响。</w:t>
            </w:r>
          </w:p>
          <w:p w14:paraId="1033E353">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在门诊对账明细界面中，需新增下栏医疗类别筛选按钮，涵盖门诊慢性病、普通门诊、门诊挂号等具体类别，以实现对账明细的分类查询与精准展示。</w:t>
            </w:r>
          </w:p>
          <w:p w14:paraId="6EAFBB4F">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在医保清单数据管理环节，存在数据项缺失现象，典型缺失场景包括出院时间信息缺失等，该问题对医保清单的数据完整性及后续医保结算、业务审核等关联环节的准确性造成影响。</w:t>
            </w:r>
          </w:p>
          <w:p w14:paraId="4F07CA04">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需新增清单质控规则如下：一是针对门急诊西医编码（名称）字段（otp_wm_dise），新增非空校验规则，判断该字段是否为空值；二是针对同一字段（otp_wm_dise），新增西医编码有效性校验规则 —— 需基于疾病库中 hsk_icd10_cli_insur 表新增的疾病类型标识字段（disease_classfity，其中 1 代表西医、2 代表中医主病、3 代表中医主证），通过该字段值为 1 的标识判断其是否为西医编码；三是针对民族字段（naty），新增值域范围校验规则，判断其取值是否在预设值域范围内。</w:t>
            </w:r>
          </w:p>
          <w:p w14:paraId="5387BC0E">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在医保控费相关业务模块中，需新增中医优势病种辨别功能，实现对中医优势病种的自动识别与判定；同时在医保控费关联的数据表单中，同步新增中医优势病种列，以支撑医保控费场景下的病种精准管理与费用核算。</w:t>
            </w:r>
          </w:p>
          <w:p w14:paraId="24D8511A">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实时病种预测报表中，治疗方式字段存在数据准确性偏差，典型场景为部分实际接受手术治疗的患者，其报表内对应治疗方式信息却显示为保守治疗，该问题对病种预测结果的可靠性及后续业务决策造成干扰。</w:t>
            </w:r>
          </w:p>
          <w:p w14:paraId="1760B631">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需新增针对国家、广东省、阳江市三级 2025 年最新版本负面清单项目内容的提醒功能，实现对各层级清单内容更新的动态同步，并建立精准提醒机制，以支撑相关业务的合规研判与风险预警。</w:t>
            </w:r>
          </w:p>
          <w:p w14:paraId="6557B7BA">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医保明细清单与对账数据不一致</w:t>
            </w:r>
          </w:p>
          <w:p w14:paraId="4AA16670">
            <w:pPr>
              <w:numPr>
                <w:ilvl w:val="0"/>
                <w:numId w:val="10"/>
              </w:numPr>
              <w:ind w:firstLine="640"/>
              <w:rPr>
                <w:rFonts w:hint="eastAsia" w:ascii="宋体" w:hAnsi="宋体" w:eastAsia="宋体" w:cs="宋体"/>
                <w:sz w:val="24"/>
                <w:szCs w:val="24"/>
              </w:rPr>
            </w:pPr>
            <w:r>
              <w:rPr>
                <w:rFonts w:hint="eastAsia" w:ascii="宋体" w:hAnsi="宋体" w:eastAsia="宋体" w:cs="宋体"/>
                <w:sz w:val="24"/>
                <w:szCs w:val="24"/>
              </w:rPr>
              <w:t>链接医保平台规则库，实现对未能对单味不予支付/全部单味组成的中药饮片处方进行监控及限制提交功能</w:t>
            </w:r>
          </w:p>
          <w:p w14:paraId="3EB62EC2">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医学检验系统LIS</w:t>
            </w:r>
          </w:p>
          <w:p w14:paraId="5AC3D47C">
            <w:pPr>
              <w:numPr>
                <w:ilvl w:val="0"/>
                <w:numId w:val="11"/>
              </w:numPr>
              <w:ind w:firstLine="640"/>
              <w:rPr>
                <w:rFonts w:hint="eastAsia" w:ascii="宋体" w:hAnsi="宋体" w:eastAsia="宋体" w:cs="宋体"/>
                <w:sz w:val="24"/>
                <w:szCs w:val="24"/>
              </w:rPr>
            </w:pPr>
            <w:r>
              <w:rPr>
                <w:rFonts w:hint="eastAsia" w:ascii="宋体" w:hAnsi="宋体" w:eastAsia="宋体" w:cs="宋体"/>
                <w:sz w:val="24"/>
                <w:szCs w:val="24"/>
              </w:rPr>
              <w:t>当前检验结果窗口仅展示近 3 个月历史检验结果，部分检验项目复查周期较长，因缺乏历史结果直接参照，易引发误报。</w:t>
            </w:r>
          </w:p>
          <w:p w14:paraId="6F0C0CA5">
            <w:pPr>
              <w:numPr>
                <w:ilvl w:val="0"/>
                <w:numId w:val="11"/>
              </w:numPr>
              <w:ind w:firstLine="640"/>
              <w:rPr>
                <w:rFonts w:hint="eastAsia" w:ascii="宋体" w:hAnsi="宋体" w:eastAsia="宋体" w:cs="宋体"/>
                <w:sz w:val="24"/>
                <w:szCs w:val="24"/>
              </w:rPr>
            </w:pPr>
            <w:r>
              <w:rPr>
                <w:rFonts w:hint="eastAsia" w:ascii="宋体" w:hAnsi="宋体" w:eastAsia="宋体" w:cs="宋体"/>
                <w:sz w:val="24"/>
                <w:szCs w:val="24"/>
              </w:rPr>
              <w:t>危急值报警窗口存在两处异常：其一，危急值范围未展示；其二，点击上报时触发报错。</w:t>
            </w:r>
          </w:p>
          <w:p w14:paraId="3ED4E198">
            <w:pPr>
              <w:numPr>
                <w:ilvl w:val="0"/>
                <w:numId w:val="11"/>
              </w:numPr>
              <w:ind w:firstLine="640"/>
              <w:rPr>
                <w:rFonts w:hint="eastAsia" w:ascii="宋体" w:hAnsi="宋体" w:eastAsia="宋体" w:cs="宋体"/>
                <w:sz w:val="24"/>
                <w:szCs w:val="24"/>
              </w:rPr>
            </w:pPr>
            <w:r>
              <w:rPr>
                <w:rFonts w:hint="eastAsia" w:ascii="宋体" w:hAnsi="宋体" w:eastAsia="宋体" w:cs="宋体"/>
                <w:sz w:val="24"/>
                <w:szCs w:val="24"/>
              </w:rPr>
              <w:t>非危急值但需提醒类项目，系统未触发提醒，医生反馈该问题已发生，典型场景如传染病阳性结果。</w:t>
            </w:r>
          </w:p>
          <w:p w14:paraId="39AE6748">
            <w:pPr>
              <w:numPr>
                <w:ilvl w:val="0"/>
                <w:numId w:val="11"/>
              </w:numPr>
              <w:ind w:firstLine="640"/>
              <w:rPr>
                <w:rFonts w:hint="eastAsia" w:ascii="宋体" w:hAnsi="宋体" w:eastAsia="宋体" w:cs="宋体"/>
                <w:sz w:val="24"/>
                <w:szCs w:val="24"/>
              </w:rPr>
            </w:pPr>
            <w:r>
              <w:rPr>
                <w:rFonts w:hint="eastAsia" w:ascii="宋体" w:hAnsi="宋体" w:eastAsia="宋体" w:cs="宋体"/>
                <w:sz w:val="24"/>
                <w:szCs w:val="24"/>
              </w:rPr>
              <w:t>该模块存在三处问题：一是多项功能选项点击后无法查询，仅为目录形式；二是微生物、传染病等部分数据抓取异常，导出数据存在错漏；三是导出的 EXCEL 表中，单患者信息占用两行，影响后续分析。</w:t>
            </w:r>
          </w:p>
          <w:p w14:paraId="3656AED8">
            <w:pPr>
              <w:numPr>
                <w:ilvl w:val="0"/>
                <w:numId w:val="11"/>
              </w:numPr>
              <w:ind w:firstLine="640"/>
              <w:rPr>
                <w:rFonts w:hint="eastAsia" w:ascii="宋体" w:hAnsi="宋体" w:eastAsia="宋体" w:cs="宋体"/>
                <w:sz w:val="24"/>
                <w:szCs w:val="24"/>
              </w:rPr>
            </w:pPr>
            <w:r>
              <w:rPr>
                <w:rFonts w:hint="eastAsia" w:ascii="宋体" w:hAnsi="宋体" w:eastAsia="宋体" w:cs="宋体"/>
                <w:sz w:val="24"/>
                <w:szCs w:val="24"/>
              </w:rPr>
              <w:t>新增细菌培养结果阳性触发机制，自动向临床医生推送提醒至开药敏对应操作窗口</w:t>
            </w:r>
          </w:p>
          <w:p w14:paraId="3118A375">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手术麻醉系统</w:t>
            </w:r>
          </w:p>
          <w:p w14:paraId="78D422D6">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多台电脑终端之间的手术麻醉系统，在运行过程中偶发性出现信息同步不一致现象，偶尔存在数据未实时对齐、部分信息更新延迟或局部数据不匹配的情况，该问题并非持续性发生，仅在特定工况下随机出现。</w:t>
            </w:r>
          </w:p>
          <w:p w14:paraId="661849F0">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第二类精神药品（简称 “精二药品”）与普通麻醉药品对应的处方，当前存在显示功能异常，具体表现为上述两类药品的处方信息无法在系统界面中正常加载、展示或呈现，无法为相关操作提供可视化的处方内容支持。</w:t>
            </w:r>
          </w:p>
          <w:p w14:paraId="0127EA97">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在术后登记接口的功能迭代中，需新增切口等级相关的数据字段及信息录入、传输功能，确保该接口可支持临床人员录入患者术后切口等级信息，并能将该信息与术后登记的其他核心数据同步关联、稳定传输，以满足术后医疗记录完整性及临床数据管理需求。</w:t>
            </w:r>
          </w:p>
          <w:p w14:paraId="2BFD80E5">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术前访视单经完善填写并完成打印操作后，再次打开该文书时，已完善的内容出现数据丢失现象。具体表现为此前录入的患者病情评估、麻醉风险分级、术前准备核对等关键信息未被系统有效保存，再次打开界面时，对应数据字段显示为空或仅留存部分初始默认信息，无法完整呈现已完善的访视记录内容。</w:t>
            </w:r>
          </w:p>
          <w:p w14:paraId="6D226A88">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访视单的检验结果采集功能存在数据获取时效性异常，未采集并展示患者当前最新的检验结果，反而加载并呈现了该患者往年住院期间生成的历史检验结果。此问题导致访视单中检验结果数据与患者当前健康状态不匹配，无法为术前评估或诊疗前判断提供实时、有效的检验数据支撑，可能影响临床决策的准确性。</w:t>
            </w:r>
          </w:p>
          <w:p w14:paraId="629603A7">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麻醉处方当前存在内容完整性与规范要求不符的情况，具体表现为处方中需填写的关键要素存在缺失、未补充或填写不规范的问题，尚未达到医疗处方管理规范及麻醉药品使用管理要求中关于处方完整性的标准，无法直接作为合规的麻醉药品调配与使用依据。</w:t>
            </w:r>
          </w:p>
          <w:p w14:paraId="529CDD87">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敷料清点单在执行打印操作过程中，单据内的日期字段存在自动缺失现象，即打印输出的实体或电子单据无法正常呈现日期信息。该问题导致每次打印后需额外核对日期完整性，因日期信息缺失需频繁重复执行打印操作，以尝试获取包含完整日期的合规单据，不仅增加了临床文书处理的操作冗余，还降低了敷料清点记录的归档效率与准确性。</w:t>
            </w:r>
          </w:p>
          <w:p w14:paraId="18284A48">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手术护理记录单的拟行手术名称数据同步功能存在异常，无法从术前手术计划系统或手术安排模块中成功获取并同步拟行手术名称信息，导致记录单内拟行手术名称字段呈现空白或未填充状态。该问题直接造成手术护理记录的核心信息缺失，影响护理操作核对的准确性、手术护理记录的完整性，以及后续医疗文书归档的规范性，无法满足临床护理工作对记录单信息关联性与准确性的要求。</w:t>
            </w:r>
          </w:p>
          <w:p w14:paraId="64F89352">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需实现护理记录单与麻醉记录单之间特定数据的同步功能，具体为护理记录单从麻醉记录单中实时、准确同步两项关键信息：一是患者的入室时间，二是患者的核心生命体征指标（包括血压、脉搏、呼吸）。同步过程需确保数据传输的准确性与时效性，使护理记录单中的上述信息与麻醉记录单保持一致，以保障护理记录的完整性，为临床护理操作核对、患者生命体征动态监测及医疗文书规范化管理提供数据支撑。</w:t>
            </w:r>
          </w:p>
          <w:p w14:paraId="11BED30C">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手术安全核查环节所记录的手术医生信息，需与护理记录单中登记的手术医生信息实现数据同步，即两者应保持信息的一致性与准确性，护理记录单中的手术医生信息需自动匹配并同步手术安全核查中确认的手术医生信息，确保临床操作中手术医生信息在关键文书间无偏差，以支撑手术安全核查与护理记录的关联性核对，满足医疗文书信息一致性及临床质量管理的规范要求。</w:t>
            </w:r>
          </w:p>
          <w:p w14:paraId="7C690F89">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手术护理文书在进行样式及内容调整时，存在历史数据关联性异常对当前文书样式或内容的修改操作，会引发此前已生成的同类型手术护理单据发生连带性变更，导致历史记录与原始录入状态不一致。该现象违背了医疗文书归档的原始性原则，直接破坏了病历记录的真实性与客观性，不符合临床病历管理中对历史记录不可篡改的规范要求。</w:t>
            </w:r>
          </w:p>
          <w:p w14:paraId="394F7B8E">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手术护理相关单据需支持与手术护理记录单核心内容的数据同步功能，具体可从手术护理记录单中自动获取并同步关键信。同步过程需确保数据传输的准确性与实时性，实现两类文书信息的一致性关联，减少重复录入操作，同时保障手术护理记录的完整性与规范性，符合医疗文书管理及临床护理质量管理要求。</w:t>
            </w:r>
          </w:p>
          <w:p w14:paraId="49021D8E">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确保麻醉前访视单能够稳定地采集心电图结果，对采集功能进行全面优化。</w:t>
            </w:r>
          </w:p>
          <w:p w14:paraId="7F61C996">
            <w:pPr>
              <w:numPr>
                <w:ilvl w:val="0"/>
                <w:numId w:val="12"/>
              </w:numPr>
              <w:ind w:firstLine="640"/>
              <w:rPr>
                <w:rFonts w:hint="eastAsia" w:ascii="宋体" w:hAnsi="宋体" w:eastAsia="宋体" w:cs="宋体"/>
                <w:sz w:val="24"/>
                <w:szCs w:val="24"/>
              </w:rPr>
            </w:pPr>
            <w:r>
              <w:rPr>
                <w:rFonts w:hint="eastAsia" w:ascii="宋体" w:hAnsi="宋体" w:eastAsia="宋体" w:cs="宋体"/>
                <w:sz w:val="24"/>
                <w:szCs w:val="24"/>
              </w:rPr>
              <w:t>增加麻醉药品、第一类精神药品处方笺的功能，确保麻醉药品的开具符合相关法律法规和管理规定。</w:t>
            </w:r>
          </w:p>
          <w:p w14:paraId="4CF9F532">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院前救急系统</w:t>
            </w:r>
          </w:p>
          <w:p w14:paraId="21220928">
            <w:pPr>
              <w:numPr>
                <w:ilvl w:val="0"/>
                <w:numId w:val="13"/>
              </w:numPr>
              <w:ind w:firstLine="640"/>
              <w:rPr>
                <w:rFonts w:hint="eastAsia" w:ascii="宋体" w:hAnsi="宋体" w:eastAsia="宋体" w:cs="宋体"/>
                <w:sz w:val="24"/>
                <w:szCs w:val="24"/>
              </w:rPr>
            </w:pPr>
            <w:r>
              <w:rPr>
                <w:rFonts w:hint="eastAsia" w:ascii="宋体" w:hAnsi="宋体" w:eastAsia="宋体" w:cs="宋体"/>
                <w:sz w:val="24"/>
                <w:szCs w:val="24"/>
              </w:rPr>
              <w:t>建立医务、护理部与急救系统之间的信息实时同步机制，确保各类知情同意书、评估单、核查单等在更新后能够自动、及时地同步到急救系统。优化同步流程，减少人工干预环节，提高信息一致性和工作效率，保障患者权益和医疗安全。</w:t>
            </w:r>
          </w:p>
          <w:p w14:paraId="72C39AC9">
            <w:pPr>
              <w:numPr>
                <w:ilvl w:val="0"/>
                <w:numId w:val="13"/>
              </w:numPr>
              <w:ind w:firstLine="640"/>
              <w:rPr>
                <w:rFonts w:hint="eastAsia" w:ascii="宋体" w:hAnsi="宋体" w:eastAsia="宋体" w:cs="宋体"/>
                <w:sz w:val="24"/>
                <w:szCs w:val="24"/>
              </w:rPr>
            </w:pPr>
            <w:r>
              <w:rPr>
                <w:rFonts w:hint="eastAsia" w:ascii="宋体" w:hAnsi="宋体" w:eastAsia="宋体" w:cs="宋体"/>
                <w:sz w:val="24"/>
                <w:szCs w:val="24"/>
              </w:rPr>
              <w:t>全面完善急救病历出诊界面信息展示，以直观、清晰的布局呈现患者关键信息，包括基本身份信息、病情概述、现场处置情况等，确保出诊信息的完整性和及时性，提高急救工作效率。</w:t>
            </w:r>
          </w:p>
          <w:p w14:paraId="77CFD49A">
            <w:pPr>
              <w:pStyle w:val="5"/>
              <w:tabs>
                <w:tab w:val="left" w:pos="0"/>
                <w:tab w:val="left" w:pos="420"/>
              </w:tabs>
              <w:rPr>
                <w:rFonts w:hint="eastAsia" w:ascii="宋体" w:hAnsi="宋体" w:eastAsia="宋体" w:cs="宋体"/>
                <w:sz w:val="24"/>
                <w:szCs w:val="24"/>
              </w:rPr>
            </w:pPr>
            <w:r>
              <w:rPr>
                <w:rFonts w:hint="eastAsia" w:ascii="宋体" w:hAnsi="宋体" w:eastAsia="宋体" w:cs="宋体"/>
                <w:sz w:val="24"/>
                <w:szCs w:val="24"/>
              </w:rPr>
              <w:t>院感系统</w:t>
            </w:r>
          </w:p>
          <w:p w14:paraId="436CD2F3">
            <w:pPr>
              <w:numPr>
                <w:ilvl w:val="0"/>
                <w:numId w:val="14"/>
              </w:numPr>
              <w:ind w:firstLine="640"/>
              <w:rPr>
                <w:rFonts w:hint="eastAsia" w:ascii="宋体" w:hAnsi="宋体" w:eastAsia="宋体" w:cs="宋体"/>
                <w:sz w:val="24"/>
                <w:szCs w:val="24"/>
              </w:rPr>
            </w:pPr>
            <w:r>
              <w:rPr>
                <w:rFonts w:hint="eastAsia" w:ascii="宋体" w:hAnsi="宋体" w:eastAsia="宋体" w:cs="宋体"/>
                <w:sz w:val="24"/>
                <w:szCs w:val="24"/>
              </w:rPr>
              <w:t>一类切口监测未能与手麻系统对接；一类切口未能实时监控；一类切口监测报表需增加术前预防用药0.5-1小时给药率；手术预防用药24小时内停药率；手术切口部位监测与手麻系统对接；一类切口与实时监控；一类切口监测报表需增加术前预防用药0.5-1小时给药率；手术预防用药24小时内停药率。</w:t>
            </w:r>
          </w:p>
          <w:p w14:paraId="7178B59B">
            <w:pPr>
              <w:keepNext w:val="0"/>
              <w:keepLines w:val="0"/>
              <w:widowControl/>
              <w:suppressLineNumbers w:val="0"/>
              <w:ind w:left="840" w:leftChars="400" w:firstLine="0" w:firstLineChars="0"/>
              <w:jc w:val="left"/>
              <w:textAlignment w:val="top"/>
              <w:rPr>
                <w:rFonts w:hint="default" w:ascii="宋体" w:hAnsi="宋体" w:eastAsia="宋体" w:cs="宋体"/>
                <w:i w:val="0"/>
                <w:iCs w:val="0"/>
                <w:color w:val="000000"/>
                <w:kern w:val="0"/>
                <w:sz w:val="24"/>
                <w:szCs w:val="24"/>
                <w:u w:val="none"/>
                <w:lang w:val="en-US" w:eastAsia="zh-CN" w:bidi="ar"/>
              </w:rPr>
            </w:pPr>
          </w:p>
        </w:tc>
      </w:tr>
    </w:tbl>
    <w:p w14:paraId="2D147EE0">
      <w:pPr>
        <w:spacing w:before="156" w:beforeLines="50" w:after="156" w:afterLines="50" w:line="300" w:lineRule="auto"/>
        <w:ind w:firstLine="420" w:firstLineChars="200"/>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0260ED"/>
    <w:multiLevelType w:val="singleLevel"/>
    <w:tmpl w:val="840260ED"/>
    <w:lvl w:ilvl="0" w:tentative="0">
      <w:start w:val="1"/>
      <w:numFmt w:val="decimal"/>
      <w:suff w:val="nothing"/>
      <w:lvlText w:val="(%1)"/>
      <w:lvlJc w:val="left"/>
      <w:pPr>
        <w:ind w:left="454" w:hanging="454"/>
      </w:pPr>
      <w:rPr>
        <w:rFonts w:hint="default"/>
      </w:rPr>
    </w:lvl>
  </w:abstractNum>
  <w:abstractNum w:abstractNumId="1">
    <w:nsid w:val="87CA83BA"/>
    <w:multiLevelType w:val="singleLevel"/>
    <w:tmpl w:val="87CA83BA"/>
    <w:lvl w:ilvl="0" w:tentative="0">
      <w:start w:val="1"/>
      <w:numFmt w:val="decimal"/>
      <w:lvlText w:val="(%1)"/>
      <w:lvlJc w:val="left"/>
      <w:pPr>
        <w:ind w:left="425" w:hanging="425"/>
      </w:pPr>
      <w:rPr>
        <w:rFonts w:hint="default"/>
      </w:rPr>
    </w:lvl>
  </w:abstractNum>
  <w:abstractNum w:abstractNumId="2">
    <w:nsid w:val="8CD88249"/>
    <w:multiLevelType w:val="singleLevel"/>
    <w:tmpl w:val="8CD88249"/>
    <w:lvl w:ilvl="0" w:tentative="0">
      <w:start w:val="1"/>
      <w:numFmt w:val="decimal"/>
      <w:suff w:val="nothing"/>
      <w:lvlText w:val="(%1)"/>
      <w:lvlJc w:val="left"/>
      <w:pPr>
        <w:ind w:left="454" w:hanging="454"/>
      </w:pPr>
      <w:rPr>
        <w:rFonts w:hint="default"/>
      </w:rPr>
    </w:lvl>
  </w:abstractNum>
  <w:abstractNum w:abstractNumId="3">
    <w:nsid w:val="9D3E9DFE"/>
    <w:multiLevelType w:val="singleLevel"/>
    <w:tmpl w:val="9D3E9DFE"/>
    <w:lvl w:ilvl="0" w:tentative="0">
      <w:start w:val="1"/>
      <w:numFmt w:val="decimal"/>
      <w:suff w:val="nothing"/>
      <w:lvlText w:val="(%1)"/>
      <w:lvlJc w:val="left"/>
      <w:pPr>
        <w:ind w:left="454" w:hanging="454"/>
      </w:pPr>
      <w:rPr>
        <w:rFonts w:hint="default"/>
      </w:rPr>
    </w:lvl>
  </w:abstractNum>
  <w:abstractNum w:abstractNumId="4">
    <w:nsid w:val="F15DB847"/>
    <w:multiLevelType w:val="singleLevel"/>
    <w:tmpl w:val="F15DB847"/>
    <w:lvl w:ilvl="0" w:tentative="0">
      <w:start w:val="1"/>
      <w:numFmt w:val="decimal"/>
      <w:suff w:val="nothing"/>
      <w:lvlText w:val="(%1)"/>
      <w:lvlJc w:val="left"/>
      <w:pPr>
        <w:ind w:left="454" w:hanging="454"/>
      </w:pPr>
      <w:rPr>
        <w:rFonts w:hint="default"/>
      </w:rPr>
    </w:lvl>
  </w:abstractNum>
  <w:abstractNum w:abstractNumId="5">
    <w:nsid w:val="F6DE51A7"/>
    <w:multiLevelType w:val="singleLevel"/>
    <w:tmpl w:val="F6DE51A7"/>
    <w:lvl w:ilvl="0" w:tentative="0">
      <w:start w:val="1"/>
      <w:numFmt w:val="decimal"/>
      <w:suff w:val="nothing"/>
      <w:lvlText w:val="(%1)"/>
      <w:lvlJc w:val="left"/>
      <w:pPr>
        <w:ind w:left="454" w:hanging="454"/>
      </w:pPr>
      <w:rPr>
        <w:rFonts w:hint="default"/>
      </w:rPr>
    </w:lvl>
  </w:abstractNum>
  <w:abstractNum w:abstractNumId="6">
    <w:nsid w:val="FE0A0A13"/>
    <w:multiLevelType w:val="singleLevel"/>
    <w:tmpl w:val="FE0A0A13"/>
    <w:lvl w:ilvl="0" w:tentative="0">
      <w:start w:val="1"/>
      <w:numFmt w:val="decimal"/>
      <w:suff w:val="nothing"/>
      <w:lvlText w:val="(%1)"/>
      <w:lvlJc w:val="left"/>
      <w:pPr>
        <w:ind w:left="454" w:hanging="454"/>
      </w:pPr>
      <w:rPr>
        <w:rFonts w:hint="default"/>
      </w:rPr>
    </w:lvl>
  </w:abstractNum>
  <w:abstractNum w:abstractNumId="7">
    <w:nsid w:val="01CA0114"/>
    <w:multiLevelType w:val="singleLevel"/>
    <w:tmpl w:val="01CA0114"/>
    <w:lvl w:ilvl="0" w:tentative="0">
      <w:start w:val="1"/>
      <w:numFmt w:val="chineseCounting"/>
      <w:suff w:val="nothing"/>
      <w:lvlText w:val="%1、"/>
      <w:lvlJc w:val="left"/>
      <w:pPr>
        <w:tabs>
          <w:tab w:val="left" w:pos="0"/>
        </w:tabs>
      </w:pPr>
      <w:rPr>
        <w:rFonts w:hint="eastAsia"/>
      </w:rPr>
    </w:lvl>
  </w:abstractNum>
  <w:abstractNum w:abstractNumId="8">
    <w:nsid w:val="336731BE"/>
    <w:multiLevelType w:val="singleLevel"/>
    <w:tmpl w:val="336731BE"/>
    <w:lvl w:ilvl="0" w:tentative="0">
      <w:start w:val="1"/>
      <w:numFmt w:val="decimal"/>
      <w:suff w:val="nothing"/>
      <w:lvlText w:val="(%1)"/>
      <w:lvlJc w:val="left"/>
      <w:pPr>
        <w:ind w:left="454" w:hanging="454"/>
      </w:pPr>
      <w:rPr>
        <w:rFonts w:hint="default"/>
      </w:rPr>
    </w:lvl>
  </w:abstractNum>
  <w:abstractNum w:abstractNumId="9">
    <w:nsid w:val="346D3E34"/>
    <w:multiLevelType w:val="singleLevel"/>
    <w:tmpl w:val="346D3E34"/>
    <w:lvl w:ilvl="0" w:tentative="0">
      <w:start w:val="1"/>
      <w:numFmt w:val="decimal"/>
      <w:suff w:val="nothing"/>
      <w:lvlText w:val="(%1)"/>
      <w:lvlJc w:val="left"/>
      <w:pPr>
        <w:ind w:left="454" w:hanging="454"/>
      </w:pPr>
      <w:rPr>
        <w:rFonts w:hint="default"/>
      </w:rPr>
    </w:lvl>
  </w:abstractNum>
  <w:abstractNum w:abstractNumId="10">
    <w:nsid w:val="46340A66"/>
    <w:multiLevelType w:val="singleLevel"/>
    <w:tmpl w:val="46340A66"/>
    <w:lvl w:ilvl="0" w:tentative="0">
      <w:start w:val="1"/>
      <w:numFmt w:val="decimal"/>
      <w:suff w:val="nothing"/>
      <w:lvlText w:val="(%1)"/>
      <w:lvlJc w:val="left"/>
      <w:pPr>
        <w:ind w:left="454" w:hanging="454"/>
      </w:pPr>
      <w:rPr>
        <w:rFonts w:hint="default"/>
      </w:rPr>
    </w:lvl>
  </w:abstractNum>
  <w:abstractNum w:abstractNumId="11">
    <w:nsid w:val="4FC784CB"/>
    <w:multiLevelType w:val="singleLevel"/>
    <w:tmpl w:val="4FC784CB"/>
    <w:lvl w:ilvl="0" w:tentative="0">
      <w:start w:val="1"/>
      <w:numFmt w:val="decimal"/>
      <w:suff w:val="nothing"/>
      <w:lvlText w:val="(%1)"/>
      <w:lvlJc w:val="left"/>
      <w:pPr>
        <w:ind w:left="454" w:hanging="454"/>
      </w:pPr>
      <w:rPr>
        <w:rFonts w:hint="default"/>
      </w:rPr>
    </w:lvl>
  </w:abstractNum>
  <w:abstractNum w:abstractNumId="12">
    <w:nsid w:val="65396511"/>
    <w:multiLevelType w:val="singleLevel"/>
    <w:tmpl w:val="65396511"/>
    <w:lvl w:ilvl="0" w:tentative="0">
      <w:start w:val="1"/>
      <w:numFmt w:val="decimal"/>
      <w:suff w:val="nothing"/>
      <w:lvlText w:val="(%1)"/>
      <w:lvlJc w:val="left"/>
      <w:pPr>
        <w:ind w:left="454" w:hanging="454"/>
      </w:pPr>
      <w:rPr>
        <w:rFonts w:hint="default"/>
      </w:rPr>
    </w:lvl>
  </w:abstractNum>
  <w:abstractNum w:abstractNumId="13">
    <w:nsid w:val="729CDE20"/>
    <w:multiLevelType w:val="singleLevel"/>
    <w:tmpl w:val="729CDE20"/>
    <w:lvl w:ilvl="0" w:tentative="0">
      <w:start w:val="1"/>
      <w:numFmt w:val="decimal"/>
      <w:lvlText w:val="(%1)"/>
      <w:lvlJc w:val="left"/>
      <w:pPr>
        <w:ind w:left="425" w:hanging="425"/>
      </w:pPr>
      <w:rPr>
        <w:rFonts w:hint="default"/>
      </w:rPr>
    </w:lvl>
  </w:abstractNum>
  <w:num w:numId="1">
    <w:abstractNumId w:val="7"/>
  </w:num>
  <w:num w:numId="2">
    <w:abstractNumId w:val="13"/>
  </w:num>
  <w:num w:numId="3">
    <w:abstractNumId w:val="1"/>
  </w:num>
  <w:num w:numId="4">
    <w:abstractNumId w:val="0"/>
  </w:num>
  <w:num w:numId="5">
    <w:abstractNumId w:val="9"/>
  </w:num>
  <w:num w:numId="6">
    <w:abstractNumId w:val="6"/>
  </w:num>
  <w:num w:numId="7">
    <w:abstractNumId w:val="10"/>
  </w:num>
  <w:num w:numId="8">
    <w:abstractNumId w:val="12"/>
  </w:num>
  <w:num w:numId="9">
    <w:abstractNumId w:val="4"/>
  </w:num>
  <w:num w:numId="10">
    <w:abstractNumId w:val="3"/>
  </w:num>
  <w:num w:numId="11">
    <w:abstractNumId w:val="11"/>
  </w:num>
  <w:num w:numId="12">
    <w:abstractNumId w:val="2"/>
  </w:num>
  <w:num w:numId="13">
    <w:abstractNumId w:val="8"/>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F4703BD"/>
    <w:rsid w:val="000C4AFC"/>
    <w:rsid w:val="00134CFB"/>
    <w:rsid w:val="00211BDD"/>
    <w:rsid w:val="003C26E2"/>
    <w:rsid w:val="00564FD9"/>
    <w:rsid w:val="0093402A"/>
    <w:rsid w:val="00974C54"/>
    <w:rsid w:val="00B853C4"/>
    <w:rsid w:val="00E57222"/>
    <w:rsid w:val="0C300E1D"/>
    <w:rsid w:val="0CF43DCE"/>
    <w:rsid w:val="0D1C355C"/>
    <w:rsid w:val="0FF7412C"/>
    <w:rsid w:val="10CB08A4"/>
    <w:rsid w:val="155C69C7"/>
    <w:rsid w:val="15CC7E09"/>
    <w:rsid w:val="16815B50"/>
    <w:rsid w:val="16882F08"/>
    <w:rsid w:val="17C00A9E"/>
    <w:rsid w:val="1F4703BD"/>
    <w:rsid w:val="1F5F584A"/>
    <w:rsid w:val="24B108F5"/>
    <w:rsid w:val="29D86924"/>
    <w:rsid w:val="2B3F716D"/>
    <w:rsid w:val="2CAD4098"/>
    <w:rsid w:val="2DED138C"/>
    <w:rsid w:val="2E717347"/>
    <w:rsid w:val="31A44643"/>
    <w:rsid w:val="33FD3A95"/>
    <w:rsid w:val="3ADA2A9F"/>
    <w:rsid w:val="3B5C467E"/>
    <w:rsid w:val="3D08494C"/>
    <w:rsid w:val="41FF4F3E"/>
    <w:rsid w:val="43F75A37"/>
    <w:rsid w:val="49510102"/>
    <w:rsid w:val="4C2A1804"/>
    <w:rsid w:val="4E260345"/>
    <w:rsid w:val="4F9842DC"/>
    <w:rsid w:val="559E63C4"/>
    <w:rsid w:val="55FE6086"/>
    <w:rsid w:val="56732E55"/>
    <w:rsid w:val="58A66AE1"/>
    <w:rsid w:val="5C311D40"/>
    <w:rsid w:val="5DE11FC2"/>
    <w:rsid w:val="5E304AF2"/>
    <w:rsid w:val="62A86795"/>
    <w:rsid w:val="68C161FA"/>
    <w:rsid w:val="69E623BC"/>
    <w:rsid w:val="717464FF"/>
    <w:rsid w:val="71891B4D"/>
    <w:rsid w:val="720A324E"/>
    <w:rsid w:val="74A03B41"/>
    <w:rsid w:val="79E60D6B"/>
    <w:rsid w:val="7DD108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Autospacing="1" w:afterAutospacing="1"/>
      <w:jc w:val="left"/>
      <w:outlineLvl w:val="0"/>
    </w:pPr>
    <w:rPr>
      <w:rFonts w:hint="eastAsia" w:ascii="宋体" w:hAnsi="宋体" w:eastAsia="宋体" w:cs="Times New Roman"/>
      <w:b/>
      <w:bCs/>
      <w:kern w:val="44"/>
      <w:sz w:val="48"/>
      <w:szCs w:val="48"/>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eastAsia="宋体" w:cs="Times New Roman"/>
      <w:b/>
      <w:bCs/>
      <w:kern w:val="0"/>
      <w:sz w:val="36"/>
      <w:szCs w:val="36"/>
    </w:rPr>
  </w:style>
  <w:style w:type="paragraph" w:styleId="4">
    <w:name w:val="heading 3"/>
    <w:basedOn w:val="1"/>
    <w:next w:val="1"/>
    <w:semiHidden/>
    <w:unhideWhenUsed/>
    <w:qFormat/>
    <w:uiPriority w:val="0"/>
    <w:pPr>
      <w:spacing w:beforeAutospacing="1" w:afterAutospacing="1"/>
      <w:jc w:val="left"/>
      <w:outlineLvl w:val="2"/>
    </w:pPr>
    <w:rPr>
      <w:rFonts w:hint="eastAsia" w:ascii="宋体" w:hAnsi="宋体" w:eastAsia="宋体" w:cs="Times New Roman"/>
      <w:b/>
      <w:bCs/>
      <w:kern w:val="0"/>
      <w:sz w:val="27"/>
      <w:szCs w:val="27"/>
    </w:rPr>
  </w:style>
  <w:style w:type="paragraph" w:styleId="5">
    <w:name w:val="heading 4"/>
    <w:basedOn w:val="1"/>
    <w:next w:val="1"/>
    <w:unhideWhenUsed/>
    <w:qFormat/>
    <w:uiPriority w:val="0"/>
    <w:pPr>
      <w:keepNext/>
      <w:keepLines/>
      <w:spacing w:before="280" w:after="290" w:line="372" w:lineRule="auto"/>
      <w:outlineLvl w:val="3"/>
    </w:pPr>
    <w:rPr>
      <w:rFonts w:ascii="Arial" w:hAnsi="Arial" w:eastAsia="黑体"/>
      <w:b/>
      <w:sz w:val="28"/>
    </w:rPr>
  </w:style>
  <w:style w:type="character" w:default="1" w:styleId="8">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table" w:styleId="7">
    <w:name w:val="Table Grid"/>
    <w:basedOn w:val="6"/>
    <w:qFormat/>
    <w:uiPriority w:val="0"/>
    <w:rPr>
      <w:rFonts w:asciiTheme="minorHAnsi" w:hAnsiTheme="minorHAnsi" w:eastAsiaTheme="minorEastAsia" w:cstheme="minorBid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Strong"/>
    <w:basedOn w:val="8"/>
    <w:qFormat/>
    <w:uiPriority w:val="0"/>
    <w:rPr>
      <w:b/>
    </w:rPr>
  </w:style>
  <w:style w:type="paragraph" w:customStyle="1" w:styleId="10">
    <w:name w:val="_Style 13"/>
    <w:qFormat/>
    <w:uiPriority w:val="0"/>
    <w:pPr>
      <w:spacing w:before="120" w:after="120" w:line="288" w:lineRule="auto"/>
    </w:pPr>
    <w:rPr>
      <w:rFonts w:ascii="Arial" w:hAnsi="Arial" w:eastAsia="等线" w:cs="Arial"/>
      <w:sz w:val="22"/>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37</Pages>
  <Words>26411</Words>
  <Characters>27466</Characters>
  <Lines>8</Lines>
  <Paragraphs>2</Paragraphs>
  <TotalTime>18</TotalTime>
  <ScaleCrop>false</ScaleCrop>
  <LinksUpToDate>false</LinksUpToDate>
  <CharactersWithSpaces>27969</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2025-09-17T06:26:00Z</dcterms:created>
  <dc:creator>小怪怪</dc:creator>
  <cp:lastModifiedBy>日月</cp:lastModifiedBy>
  <dcterms:modified xsi:type="dcterms:W3CDTF">2025-12-16T07:05:08Z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D0B8DD019DBD4E26B70798EEC68ABE1E_13</vt:lpwstr>
  </property>
  <property fmtid="{D5CDD505-2E9C-101B-9397-08002B2CF9AE}" pid="4" name="KSOTemplateDocerSaveRecord">
    <vt:lpwstr>eyJoZGlkIjoiMWZhNjExZWYxYTQ4ZTVkMjM5YjYzNzg2ZDNmZTkxNDMiLCJ1c2VySWQiOiIzNzA2NTkwMjIifQ==</vt:lpwstr>
  </property>
  <property fmtid="{D5CDD505-2E9C-101B-9397-08002B2CF9AE}" pid="5" name="_DocHome">
    <vt:i4>898256735</vt:i4>
  </property>
</Properties>
</file>