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9A4888">
      <w:pPr>
        <w:ind w:firstLine="0" w:firstLineChars="0"/>
        <w:rPr>
          <w:rFonts w:hint="eastAsia" w:ascii="宋体" w:hAnsi="宋体" w:eastAsia="宋体" w:cs="宋体"/>
          <w:b/>
          <w:bCs/>
          <w:color w:val="000000"/>
          <w:kern w:val="0"/>
          <w:sz w:val="28"/>
          <w:szCs w:val="28"/>
        </w:rPr>
      </w:pPr>
    </w:p>
    <w:p w14:paraId="426F08AB">
      <w:pPr>
        <w:ind w:firstLine="0" w:firstLineChars="0"/>
        <w:rPr>
          <w:rFonts w:hint="eastAsia" w:ascii="宋体" w:hAnsi="宋体" w:eastAsia="宋体" w:cs="宋体"/>
          <w:b/>
          <w:bCs/>
          <w:color w:val="000000"/>
          <w:kern w:val="0"/>
          <w:sz w:val="28"/>
          <w:szCs w:val="28"/>
        </w:rPr>
      </w:pPr>
    </w:p>
    <w:p w14:paraId="48121AB8">
      <w:pPr>
        <w:ind w:firstLine="0" w:firstLineChars="0"/>
        <w:rPr>
          <w:rFonts w:hint="eastAsia" w:ascii="宋体" w:hAnsi="宋体" w:eastAsia="宋体" w:cs="宋体"/>
          <w:b/>
          <w:bCs/>
          <w:color w:val="000000"/>
          <w:kern w:val="0"/>
          <w:sz w:val="28"/>
          <w:szCs w:val="28"/>
        </w:rPr>
      </w:pPr>
    </w:p>
    <w:p w14:paraId="5B916851">
      <w:pPr>
        <w:ind w:firstLine="0" w:firstLineChars="0"/>
        <w:jc w:val="center"/>
        <w:rPr>
          <w:rFonts w:hint="eastAsia" w:ascii="宋体" w:hAnsi="宋体" w:eastAsia="宋体" w:cs="宋体"/>
          <w:b/>
          <w:bCs/>
          <w:color w:val="000000"/>
          <w:kern w:val="0"/>
          <w:sz w:val="52"/>
          <w:szCs w:val="52"/>
        </w:rPr>
      </w:pPr>
      <w:r>
        <w:rPr>
          <w:rFonts w:hint="eastAsia" w:ascii="宋体" w:hAnsi="宋体" w:eastAsia="宋体" w:cs="宋体"/>
          <w:b/>
          <w:bCs/>
          <w:color w:val="000000"/>
          <w:kern w:val="0"/>
          <w:sz w:val="52"/>
          <w:szCs w:val="52"/>
        </w:rPr>
        <w:t>阳春中医院医院</w:t>
      </w:r>
      <w:r>
        <w:rPr>
          <w:rFonts w:hint="eastAsia" w:ascii="宋体" w:hAnsi="宋体" w:eastAsia="宋体" w:cs="宋体"/>
          <w:b/>
          <w:bCs/>
          <w:color w:val="000000"/>
          <w:kern w:val="0"/>
          <w:sz w:val="52"/>
          <w:szCs w:val="52"/>
          <w:lang w:eastAsia="zh-CN"/>
        </w:rPr>
        <w:t>办公自动化系统（OA系统）</w:t>
      </w:r>
      <w:r>
        <w:rPr>
          <w:rFonts w:hint="eastAsia" w:ascii="宋体" w:hAnsi="宋体" w:eastAsia="宋体" w:cs="宋体"/>
          <w:b/>
          <w:bCs/>
          <w:color w:val="000000"/>
          <w:kern w:val="0"/>
          <w:sz w:val="52"/>
          <w:szCs w:val="52"/>
          <w:lang w:val="en-US" w:eastAsia="zh-CN"/>
        </w:rPr>
        <w:t>和私有云电脑</w:t>
      </w:r>
      <w:bookmarkStart w:id="24" w:name="_GoBack"/>
      <w:bookmarkEnd w:id="24"/>
      <w:r>
        <w:rPr>
          <w:rFonts w:hint="eastAsia" w:ascii="宋体" w:hAnsi="宋体" w:eastAsia="宋体" w:cs="宋体"/>
          <w:b/>
          <w:bCs/>
          <w:color w:val="000000"/>
          <w:kern w:val="0"/>
          <w:sz w:val="52"/>
          <w:szCs w:val="52"/>
        </w:rPr>
        <w:t>项目</w:t>
      </w:r>
    </w:p>
    <w:p w14:paraId="161E863D">
      <w:pPr>
        <w:ind w:firstLine="1040"/>
        <w:rPr>
          <w:rFonts w:hint="eastAsia" w:ascii="宋体" w:hAnsi="宋体" w:eastAsia="宋体" w:cs="宋体"/>
          <w:sz w:val="52"/>
          <w:szCs w:val="52"/>
        </w:rPr>
      </w:pPr>
    </w:p>
    <w:p w14:paraId="6A2F7735">
      <w:pPr>
        <w:ind w:firstLine="1044"/>
        <w:jc w:val="center"/>
        <w:rPr>
          <w:rFonts w:hint="eastAsia" w:ascii="宋体" w:hAnsi="宋体" w:eastAsia="宋体" w:cs="宋体"/>
          <w:b/>
          <w:bCs/>
          <w:color w:val="000000"/>
          <w:kern w:val="0"/>
          <w:sz w:val="52"/>
          <w:szCs w:val="52"/>
        </w:rPr>
      </w:pPr>
    </w:p>
    <w:p w14:paraId="799CE56B">
      <w:pPr>
        <w:ind w:firstLine="0" w:firstLineChars="0"/>
        <w:jc w:val="center"/>
        <w:rPr>
          <w:rFonts w:hint="eastAsia" w:ascii="宋体" w:hAnsi="宋体" w:eastAsia="宋体" w:cs="宋体"/>
          <w:b/>
          <w:bCs/>
          <w:color w:val="000000"/>
          <w:kern w:val="0"/>
          <w:sz w:val="52"/>
          <w:szCs w:val="52"/>
        </w:rPr>
      </w:pPr>
      <w:r>
        <w:rPr>
          <w:rFonts w:hint="eastAsia" w:ascii="宋体" w:hAnsi="宋体" w:eastAsia="宋体" w:cs="宋体"/>
          <w:b/>
          <w:bCs/>
          <w:color w:val="000000"/>
          <w:kern w:val="0"/>
          <w:sz w:val="52"/>
          <w:szCs w:val="52"/>
        </w:rPr>
        <w:t>需</w:t>
      </w:r>
    </w:p>
    <w:p w14:paraId="0B4D61CC">
      <w:pPr>
        <w:ind w:firstLine="0" w:firstLineChars="0"/>
        <w:jc w:val="center"/>
        <w:rPr>
          <w:rFonts w:hint="eastAsia" w:ascii="宋体" w:hAnsi="宋体" w:eastAsia="宋体" w:cs="宋体"/>
          <w:b/>
          <w:bCs/>
          <w:color w:val="000000"/>
          <w:kern w:val="0"/>
          <w:sz w:val="52"/>
          <w:szCs w:val="52"/>
        </w:rPr>
      </w:pPr>
      <w:r>
        <w:rPr>
          <w:rFonts w:hint="eastAsia" w:ascii="宋体" w:hAnsi="宋体" w:eastAsia="宋体" w:cs="宋体"/>
          <w:b/>
          <w:bCs/>
          <w:color w:val="000000"/>
          <w:kern w:val="0"/>
          <w:sz w:val="52"/>
          <w:szCs w:val="52"/>
        </w:rPr>
        <w:t>求</w:t>
      </w:r>
    </w:p>
    <w:p w14:paraId="691D6280">
      <w:pPr>
        <w:ind w:firstLine="0" w:firstLineChars="0"/>
        <w:jc w:val="center"/>
        <w:rPr>
          <w:rFonts w:hint="eastAsia" w:ascii="宋体" w:hAnsi="宋体" w:eastAsia="宋体" w:cs="宋体"/>
          <w:b/>
          <w:bCs/>
          <w:color w:val="000000"/>
          <w:kern w:val="0"/>
          <w:sz w:val="52"/>
          <w:szCs w:val="52"/>
        </w:rPr>
      </w:pPr>
      <w:r>
        <w:rPr>
          <w:rFonts w:hint="eastAsia" w:ascii="宋体" w:hAnsi="宋体" w:eastAsia="宋体" w:cs="宋体"/>
          <w:b/>
          <w:bCs/>
          <w:color w:val="000000"/>
          <w:kern w:val="0"/>
          <w:sz w:val="52"/>
          <w:szCs w:val="52"/>
        </w:rPr>
        <w:t>书</w:t>
      </w:r>
    </w:p>
    <w:p w14:paraId="626C6F81">
      <w:pPr>
        <w:ind w:firstLine="1040"/>
        <w:rPr>
          <w:rFonts w:hint="eastAsia" w:ascii="宋体" w:hAnsi="宋体" w:eastAsia="宋体" w:cs="宋体"/>
          <w:sz w:val="52"/>
          <w:szCs w:val="52"/>
        </w:rPr>
      </w:pPr>
      <w:r>
        <w:rPr>
          <w:rFonts w:hint="eastAsia" w:ascii="宋体" w:hAnsi="宋体" w:eastAsia="宋体" w:cs="宋体"/>
          <w:sz w:val="52"/>
          <w:szCs w:val="52"/>
        </w:rPr>
        <w:br w:type="page"/>
      </w:r>
    </w:p>
    <w:p w14:paraId="7A3ADAEB">
      <w:pPr>
        <w:pStyle w:val="2"/>
        <w:numPr>
          <w:ilvl w:val="0"/>
          <w:numId w:val="2"/>
        </w:numPr>
        <w:bidi w:val="0"/>
        <w:ind w:left="0" w:leftChars="0" w:firstLine="0" w:firstLineChars="0"/>
        <w:jc w:val="both"/>
        <w:rPr>
          <w:rFonts w:hint="eastAsia" w:ascii="宋体" w:hAnsi="宋体" w:eastAsia="宋体" w:cs="宋体"/>
        </w:rPr>
      </w:pPr>
      <w:bookmarkStart w:id="0" w:name="_Toc204765668"/>
      <w:r>
        <w:rPr>
          <w:rFonts w:hint="eastAsia" w:ascii="宋体" w:hAnsi="宋体" w:eastAsia="宋体" w:cs="宋体"/>
        </w:rPr>
        <w:t>项目建设方案</w:t>
      </w:r>
      <w:bookmarkEnd w:id="0"/>
      <w:bookmarkStart w:id="1" w:name="_Toc204765669"/>
    </w:p>
    <w:p w14:paraId="6F547F77">
      <w:pPr>
        <w:pStyle w:val="4"/>
        <w:numPr>
          <w:ilvl w:val="1"/>
          <w:numId w:val="0"/>
        </w:numPr>
        <w:bidi w:val="0"/>
        <w:ind w:leftChars="0"/>
        <w:rPr>
          <w:rFonts w:hint="eastAsia"/>
        </w:rPr>
      </w:pPr>
      <w:r>
        <w:rPr>
          <w:rFonts w:hint="eastAsia"/>
        </w:rPr>
        <w:t>1.1.项目背景</w:t>
      </w:r>
      <w:bookmarkEnd w:id="1"/>
    </w:p>
    <w:p w14:paraId="707E7EC0">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自从《关于加强卫生信息化建设的指导意见》于2012年发布以来，医疗机构对于信息化建设越来越重视。《指导意见》明确要求各级各类医疗卫生机构要按照统一规划和要求建立单位内部业务和管理应用系统，并将信息化建设和业务系统应用情况列入绩效考核指标，推动工作深入开展。随着社会的发展和医疗体制改革的深入，对医院的管理模式、运营机制和服务理念等都提出了新的要求。随着公立医院改革的推进，也促使医院内部管理向科学化、规范化、精细化方向发展。</w:t>
      </w:r>
    </w:p>
    <w:p w14:paraId="57053A37">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2021年3月15日，国家卫生健康委医政医管局发布了《医院智慧管理分级评估标准体系（试行）》，至此，由智慧医疗、智慧服务和智慧管理组成的智慧医院评价体系补齐拼图。智慧管理评估标准的发布，将为医疗机构科学、规范开展智慧医院建设提供指导，提升医院管理精细化、智能化水平。《医院智慧管理分级评估标准体系（试行）》对医院办公管理提出了明确要求。</w:t>
      </w:r>
    </w:p>
    <w:p w14:paraId="62748D8B">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经过业界多年的共同努力，为病人服务、以临床医疗服务为重点的医院信息化建设取得了重要进展，但是，为广大医务人员服务的行政管理业务，比如医院日常行政办公管理、医务人员的科研信息管理、教学信息管理、医德医风管理、投诉/纠纷管理等业务的信息化建设普遍不够重视、投入不足，很多医院还处于传统管理方式。随着国家政策的引导、以及医院信息化水平的提高，医院行政职能管理方面的信息化将越来越受重视，为医院广大职工服务的一体化办公管理平台将成为医院必不可少的信息化基础平台。</w:t>
      </w:r>
    </w:p>
    <w:p w14:paraId="5CEC3B37">
      <w:pPr>
        <w:pStyle w:val="5"/>
        <w:numPr>
          <w:ilvl w:val="2"/>
          <w:numId w:val="0"/>
        </w:numPr>
        <w:bidi w:val="0"/>
        <w:ind w:leftChars="0"/>
        <w:rPr>
          <w:rFonts w:hint="eastAsia"/>
        </w:rPr>
      </w:pPr>
      <w:bookmarkStart w:id="2" w:name="_Toc204765670"/>
      <w:r>
        <w:rPr>
          <w:rFonts w:hint="eastAsia"/>
        </w:rPr>
        <w:t>1.2.系统目标</w:t>
      </w:r>
      <w:bookmarkEnd w:id="2"/>
    </w:p>
    <w:p w14:paraId="14F2FE91">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通过建设新的医院服务支撑平台，为医院业务提供信息化支撑，促进医院管理规范化、透明化、合规化，满足医院内控要求，支持智慧医院建设。</w:t>
      </w:r>
      <w:r>
        <w:rPr>
          <w:rFonts w:hint="eastAsia" w:ascii="宋体" w:hAnsi="宋体" w:eastAsia="宋体" w:cs="宋体"/>
          <w:b/>
          <w:bCs/>
          <w:kern w:val="0"/>
          <w:sz w:val="28"/>
          <w:szCs w:val="28"/>
        </w:rPr>
        <w:t>（</w:t>
      </w:r>
      <w:r>
        <w:rPr>
          <w:rFonts w:hint="eastAsia" w:ascii="宋体" w:hAnsi="宋体" w:eastAsia="宋体" w:cs="宋体"/>
          <w:b/>
          <w:bCs/>
          <w:sz w:val="28"/>
          <w:szCs w:val="28"/>
        </w:rPr>
        <w:t>▲所提供产品具有移动OA软件著作权</w:t>
      </w:r>
      <w:r>
        <w:rPr>
          <w:rFonts w:hint="eastAsia" w:ascii="宋体" w:hAnsi="宋体" w:eastAsia="宋体" w:cs="宋体"/>
          <w:b/>
          <w:bCs/>
          <w:kern w:val="0"/>
          <w:sz w:val="28"/>
          <w:szCs w:val="28"/>
        </w:rPr>
        <w:t>）</w:t>
      </w:r>
    </w:p>
    <w:p w14:paraId="5A7449A8">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通过建设新的医院服务支撑平台，主要实现如下目标：</w:t>
      </w:r>
    </w:p>
    <w:p w14:paraId="56796DD2">
      <w:pPr>
        <w:pStyle w:val="3"/>
        <w:widowControl/>
        <w:overflowPunct w:val="0"/>
        <w:autoSpaceDE w:val="0"/>
        <w:autoSpaceDN w:val="0"/>
        <w:adjustRightInd w:val="0"/>
        <w:spacing w:before="156" w:beforeLines="50" w:after="156" w:afterLines="50"/>
        <w:ind w:firstLine="562"/>
        <w:jc w:val="left"/>
        <w:textAlignment w:val="baseline"/>
        <w:rPr>
          <w:rFonts w:hint="eastAsia" w:ascii="宋体" w:hAnsi="宋体" w:eastAsia="宋体" w:cs="宋体"/>
          <w:kern w:val="0"/>
          <w:sz w:val="28"/>
          <w:szCs w:val="28"/>
        </w:rPr>
      </w:pPr>
      <w:r>
        <w:rPr>
          <w:rFonts w:hint="eastAsia" w:ascii="宋体" w:hAnsi="宋体" w:eastAsia="宋体" w:cs="宋体"/>
          <w:b/>
          <w:bCs/>
          <w:kern w:val="0"/>
          <w:sz w:val="28"/>
          <w:szCs w:val="28"/>
        </w:rPr>
        <w:t>为医院建立“一体化行政管理中心”</w:t>
      </w:r>
    </w:p>
    <w:p w14:paraId="6F9EF26F">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通过本系统的建设，为医院建立一个统一的行政管理平台。未来，逐步将医院日常行政办公、科研管理、教学管理、人力资源管理、医德医风管理、患者投诉管理等所有行政职能业务，都纳入到本平台统一管理，形成“一体化行政管理中心”，简化日常维护管理，提升IT系统的使用体验，更充分发挥IT系统的价值。</w:t>
      </w:r>
    </w:p>
    <w:p w14:paraId="1E1DEF84">
      <w:pPr>
        <w:pStyle w:val="3"/>
        <w:widowControl/>
        <w:overflowPunct w:val="0"/>
        <w:autoSpaceDE w:val="0"/>
        <w:autoSpaceDN w:val="0"/>
        <w:adjustRightInd w:val="0"/>
        <w:spacing w:before="156" w:beforeLines="50" w:after="156" w:afterLines="50"/>
        <w:ind w:firstLine="562"/>
        <w:jc w:val="left"/>
        <w:textAlignment w:val="baseline"/>
        <w:rPr>
          <w:rFonts w:hint="eastAsia" w:ascii="宋体" w:hAnsi="宋体" w:eastAsia="宋体" w:cs="宋体"/>
          <w:b/>
          <w:bCs/>
          <w:kern w:val="0"/>
          <w:sz w:val="28"/>
          <w:szCs w:val="28"/>
        </w:rPr>
      </w:pPr>
      <w:r>
        <w:rPr>
          <w:rFonts w:hint="eastAsia" w:ascii="宋体" w:hAnsi="宋体" w:eastAsia="宋体" w:cs="宋体"/>
          <w:b/>
          <w:bCs/>
          <w:kern w:val="0"/>
          <w:sz w:val="28"/>
          <w:szCs w:val="28"/>
        </w:rPr>
        <w:t>为医院建立“一站式业务审批中心”</w:t>
      </w:r>
    </w:p>
    <w:p w14:paraId="42FCC201">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将医院所有需要审核、审批的业务，都纳入到本系统进行“一站式审批”（包括日常行政审批，以及H-ERP、HIS等业务系统的各种需要审批的业务，如物资领用申请、临购药采购申请、处方权申请等），使所有审批业务过程规范、透明、可追溯。</w:t>
      </w:r>
    </w:p>
    <w:p w14:paraId="1B1C43E1">
      <w:pPr>
        <w:pStyle w:val="3"/>
        <w:widowControl/>
        <w:overflowPunct w:val="0"/>
        <w:autoSpaceDE w:val="0"/>
        <w:autoSpaceDN w:val="0"/>
        <w:adjustRightInd w:val="0"/>
        <w:spacing w:before="156" w:beforeLines="50" w:after="156" w:afterLines="50"/>
        <w:ind w:firstLine="562"/>
        <w:jc w:val="left"/>
        <w:textAlignment w:val="baseline"/>
        <w:rPr>
          <w:rFonts w:hint="eastAsia" w:ascii="宋体" w:hAnsi="宋体" w:eastAsia="宋体" w:cs="宋体"/>
          <w:b/>
          <w:bCs/>
          <w:kern w:val="0"/>
          <w:sz w:val="28"/>
          <w:szCs w:val="28"/>
        </w:rPr>
      </w:pPr>
      <w:r>
        <w:rPr>
          <w:rFonts w:hint="eastAsia" w:ascii="宋体" w:hAnsi="宋体" w:eastAsia="宋体" w:cs="宋体"/>
          <w:b/>
          <w:bCs/>
          <w:kern w:val="0"/>
          <w:sz w:val="28"/>
          <w:szCs w:val="28"/>
        </w:rPr>
        <w:t>建设“医院管控中心”和“内控平台”</w:t>
      </w:r>
    </w:p>
    <w:p w14:paraId="36FE2AC2">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将本系统与HIS、HRP等业务系统打通，医院领导通过本系统即可获取各种营运数据，各项业务在本系统上审批后直接控制业务系统中的后续运行，医院领导通过本系统即可保障每一项业务的规范运行。</w:t>
      </w:r>
    </w:p>
    <w:p w14:paraId="39389680">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通过本系统落实各项业务的分级授权审批，与医院业务系统相接合，实现预算业务、收支业务、采购业务、资产管理、合同管理、建设项目等业务的规范化内控，减少人为因素，降低日常工作出错的概率，落实《行政事业单位内部控制规范（试行）》</w:t>
      </w:r>
    </w:p>
    <w:p w14:paraId="47F4DDA7">
      <w:pPr>
        <w:pStyle w:val="5"/>
        <w:numPr>
          <w:ilvl w:val="2"/>
          <w:numId w:val="0"/>
        </w:numPr>
        <w:bidi w:val="0"/>
        <w:ind w:leftChars="0"/>
        <w:rPr>
          <w:rFonts w:hint="eastAsia"/>
        </w:rPr>
      </w:pPr>
      <w:bookmarkStart w:id="3" w:name="_Toc204765671"/>
      <w:r>
        <w:rPr>
          <w:rFonts w:hint="eastAsia"/>
        </w:rPr>
        <w:t>1.3.技术架构</w:t>
      </w:r>
      <w:bookmarkEnd w:id="3"/>
    </w:p>
    <w:p w14:paraId="3159AD4E">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本系统基于HTML5标准、全面采用开源技术研发，支持Windows、Linux以及国产操作系统、国产数据库、国产服务器芯片架构，自主可控。</w:t>
      </w:r>
    </w:p>
    <w:p w14:paraId="45DA8D62">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支持分布式部署、支持大并发；支持IIS、Nginx、Tomcat等Web服务器。支持多种数据库（SQL Server、My SQL）；支持IE/EDGE、Chrome、Safari、360浏览器登多种主流浏览器。</w:t>
      </w:r>
    </w:p>
    <w:p w14:paraId="47C6E8D8">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系统全面支持移动办公，全面兼容安卓、IOS等主流移动操作系统，可对接到企业微信、个人微信、阿里钉钉、粤政易等平台中，（完全HTML5应用，无需安装客户端），可以随时随地进行移动办公。（</w:t>
      </w:r>
      <w:r>
        <w:rPr>
          <w:rFonts w:hint="eastAsia" w:ascii="宋体" w:hAnsi="宋体" w:eastAsia="宋体" w:cs="宋体"/>
          <w:color w:val="000000" w:themeColor="text1"/>
          <w:kern w:val="0"/>
          <w:sz w:val="28"/>
          <w:szCs w:val="28"/>
          <w14:textFill>
            <w14:solidFill>
              <w14:schemeClr w14:val="tx1"/>
            </w14:solidFill>
          </w14:textFill>
        </w:rPr>
        <w:t>▲</w:t>
      </w:r>
      <w:r>
        <w:rPr>
          <w:rFonts w:hint="eastAsia" w:ascii="宋体" w:hAnsi="宋体" w:eastAsia="宋体" w:cs="宋体"/>
          <w:kern w:val="0"/>
          <w:sz w:val="28"/>
          <w:szCs w:val="28"/>
        </w:rPr>
        <w:t>所投产品具有具有</w:t>
      </w:r>
      <w:r>
        <w:rPr>
          <w:rFonts w:hint="eastAsia" w:ascii="宋体" w:hAnsi="宋体" w:eastAsia="宋体" w:cs="宋体"/>
          <w:sz w:val="28"/>
          <w:szCs w:val="28"/>
        </w:rPr>
        <w:t>移动OA软件</w:t>
      </w:r>
      <w:r>
        <w:rPr>
          <w:rFonts w:hint="eastAsia" w:ascii="宋体" w:hAnsi="宋体" w:eastAsia="宋体" w:cs="宋体"/>
          <w:kern w:val="0"/>
          <w:sz w:val="28"/>
          <w:szCs w:val="28"/>
        </w:rPr>
        <w:t>相关软件著作权证书）</w:t>
      </w:r>
    </w:p>
    <w:p w14:paraId="62FBCCC3">
      <w:pPr>
        <w:ind w:firstLine="560"/>
        <w:rPr>
          <w:rFonts w:hint="eastAsia" w:ascii="宋体" w:hAnsi="宋体" w:eastAsia="宋体" w:cs="宋体"/>
          <w:sz w:val="28"/>
          <w:szCs w:val="28"/>
        </w:rPr>
      </w:pPr>
      <w:r>
        <w:rPr>
          <w:rFonts w:hint="eastAsia" w:ascii="宋体" w:hAnsi="宋体" w:eastAsia="宋体" w:cs="宋体"/>
          <w:sz w:val="28"/>
          <w:szCs w:val="28"/>
        </w:rPr>
        <w:t>1.4系统易用性</w:t>
      </w:r>
    </w:p>
    <w:p w14:paraId="01A15701">
      <w:pPr>
        <w:ind w:firstLine="560"/>
        <w:rPr>
          <w:rFonts w:hint="eastAsia" w:ascii="宋体" w:hAnsi="宋体" w:eastAsia="宋体" w:cs="宋体"/>
          <w:sz w:val="28"/>
          <w:szCs w:val="28"/>
        </w:rPr>
      </w:pPr>
      <w:r>
        <w:rPr>
          <w:rFonts w:hint="eastAsia" w:ascii="宋体" w:hAnsi="宋体" w:eastAsia="宋体" w:cs="宋体"/>
          <w:sz w:val="28"/>
          <w:szCs w:val="28"/>
        </w:rPr>
        <w:t>支持Word、PDF、TIF格式的附件在线阅读。Edge、Chrome等浏览器都可在线阅读附件，无需下载到本地后打开。</w:t>
      </w:r>
    </w:p>
    <w:p w14:paraId="29BEDE6C">
      <w:pPr>
        <w:ind w:firstLine="560"/>
        <w:rPr>
          <w:rFonts w:hint="eastAsia" w:ascii="宋体" w:hAnsi="宋体" w:eastAsia="宋体" w:cs="宋体"/>
          <w:sz w:val="28"/>
          <w:szCs w:val="28"/>
        </w:rPr>
      </w:pPr>
      <w:r>
        <w:rPr>
          <w:rFonts w:hint="eastAsia" w:ascii="宋体" w:hAnsi="宋体" w:eastAsia="宋体" w:cs="宋体"/>
          <w:sz w:val="28"/>
          <w:szCs w:val="28"/>
        </w:rPr>
        <w:t>对于红头文件（各种公文）等对版式要求严格的新闻/公告信息，可以将红头文件以附件形式上传后，将文件内容直接显示出来（无需下载后打开）。</w:t>
      </w:r>
    </w:p>
    <w:p w14:paraId="6DEB7A1E">
      <w:pPr>
        <w:ind w:firstLine="560"/>
        <w:rPr>
          <w:rFonts w:hint="eastAsia" w:ascii="宋体" w:hAnsi="宋体" w:eastAsia="宋体" w:cs="宋体"/>
          <w:sz w:val="28"/>
          <w:szCs w:val="28"/>
        </w:rPr>
      </w:pPr>
      <w:r>
        <w:rPr>
          <w:rFonts w:hint="eastAsia" w:ascii="宋体" w:hAnsi="宋体" w:eastAsia="宋体" w:cs="宋体"/>
          <w:sz w:val="28"/>
          <w:szCs w:val="28"/>
        </w:rPr>
        <w:t>（4）▲管理员登录OA，可以直观监控服务器运行情况，比如：内存占用情况、磁盘占用情况、网络吞吐情况、网站群情况、定时服务运行情况，更好地掌握系统健康情况。</w:t>
      </w:r>
    </w:p>
    <w:p w14:paraId="305DD53D">
      <w:pPr>
        <w:ind w:firstLine="560"/>
        <w:rPr>
          <w:rFonts w:hint="eastAsia" w:ascii="宋体" w:hAnsi="宋体" w:eastAsia="宋体" w:cs="宋体"/>
          <w:sz w:val="28"/>
          <w:szCs w:val="28"/>
        </w:rPr>
      </w:pPr>
      <w:r>
        <w:rPr>
          <w:rFonts w:hint="eastAsia" w:ascii="宋体" w:hAnsi="宋体" w:eastAsia="宋体" w:cs="宋体"/>
          <w:sz w:val="28"/>
          <w:szCs w:val="28"/>
        </w:rPr>
        <w:t>（5）▲支持信创环境，系统可以部署在国产服务器操作系统、支持国产数据库。（提供国产操作系统、国产数据库系统厂商出具的兼容性测试证书）</w:t>
      </w:r>
    </w:p>
    <w:p w14:paraId="785E6835">
      <w:pPr>
        <w:ind w:firstLine="560"/>
        <w:rPr>
          <w:rFonts w:hint="eastAsia" w:ascii="宋体" w:hAnsi="宋体" w:eastAsia="宋体" w:cs="宋体"/>
          <w:sz w:val="28"/>
          <w:szCs w:val="28"/>
        </w:rPr>
      </w:pPr>
      <w:r>
        <w:rPr>
          <w:rFonts w:hint="eastAsia" w:ascii="宋体" w:hAnsi="宋体" w:eastAsia="宋体" w:cs="宋体"/>
          <w:sz w:val="28"/>
          <w:szCs w:val="28"/>
        </w:rPr>
        <w:t>（6）▲管理员登录OA，可以直观监控数据库运行情况及性能指标。</w:t>
      </w:r>
    </w:p>
    <w:p w14:paraId="7D2D2D9A">
      <w:pPr>
        <w:ind w:firstLine="560"/>
        <w:rPr>
          <w:rFonts w:hint="eastAsia" w:ascii="宋体" w:hAnsi="宋体" w:eastAsia="宋体" w:cs="宋体"/>
          <w:sz w:val="28"/>
          <w:szCs w:val="28"/>
        </w:rPr>
      </w:pPr>
      <w:r>
        <w:rPr>
          <w:rFonts w:hint="eastAsia" w:ascii="宋体" w:hAnsi="宋体" w:eastAsia="宋体" w:cs="宋体"/>
          <w:sz w:val="28"/>
          <w:szCs w:val="28"/>
        </w:rPr>
        <w:t>（7）▲厂家提供持续更新的在线流程及表单模板库，可以在自定义表单设计器中直接下载使用，以便提高项目实施效率和未来借鉴其他医院的使用经验，快速扩展系统功能。模板库需包含数量不少于2000条流程模板及数量不少于2000条表单模版。(提供模板库的URL地址及登录账号，以便验证)</w:t>
      </w:r>
    </w:p>
    <w:p w14:paraId="16B27286">
      <w:pPr>
        <w:ind w:firstLine="560"/>
        <w:rPr>
          <w:rFonts w:hint="eastAsia" w:ascii="宋体" w:hAnsi="宋体" w:eastAsia="宋体" w:cs="宋体"/>
          <w:kern w:val="0"/>
          <w:sz w:val="28"/>
          <w:szCs w:val="28"/>
        </w:rPr>
      </w:pPr>
      <w:r>
        <w:rPr>
          <w:rFonts w:hint="eastAsia" w:ascii="宋体" w:hAnsi="宋体" w:eastAsia="宋体" w:cs="宋体"/>
          <w:kern w:val="0"/>
          <w:sz w:val="28"/>
          <w:szCs w:val="28"/>
        </w:rPr>
        <w:br w:type="page"/>
      </w:r>
    </w:p>
    <w:p w14:paraId="5C5AFA7D">
      <w:pPr>
        <w:pStyle w:val="2"/>
        <w:numPr>
          <w:ilvl w:val="0"/>
          <w:numId w:val="0"/>
        </w:numPr>
        <w:bidi w:val="0"/>
        <w:ind w:leftChars="0"/>
        <w:rPr>
          <w:rFonts w:hint="eastAsia" w:ascii="宋体" w:hAnsi="宋体" w:eastAsia="宋体" w:cs="宋体"/>
          <w:lang w:val="en-US" w:eastAsia="zh-CN"/>
        </w:rPr>
      </w:pPr>
      <w:bookmarkStart w:id="4" w:name="_Toc25758955"/>
      <w:r>
        <w:rPr>
          <w:rFonts w:hint="eastAsia" w:ascii="宋体" w:hAnsi="宋体" w:eastAsia="宋体" w:cs="宋体"/>
        </w:rPr>
        <w:t>二、</w:t>
      </w:r>
      <w:r>
        <w:rPr>
          <w:rFonts w:hint="eastAsia" w:ascii="宋体" w:hAnsi="宋体" w:eastAsia="宋体" w:cs="宋体"/>
          <w:lang w:val="en-US" w:eastAsia="zh-CN"/>
        </w:rPr>
        <w:t>医院</w:t>
      </w:r>
      <w:bookmarkEnd w:id="4"/>
      <w:r>
        <w:rPr>
          <w:rFonts w:hint="eastAsia" w:ascii="宋体" w:hAnsi="宋体" w:eastAsia="宋体" w:cs="宋体"/>
          <w:lang w:eastAsia="zh-CN"/>
        </w:rPr>
        <w:t>办公自动化系统（OA系统）</w:t>
      </w:r>
      <w:r>
        <w:rPr>
          <w:rFonts w:hint="eastAsia" w:ascii="宋体" w:hAnsi="宋体" w:eastAsia="宋体" w:cs="宋体"/>
          <w:lang w:val="en-US" w:eastAsia="zh-CN"/>
        </w:rPr>
        <w:t>建设</w:t>
      </w:r>
    </w:p>
    <w:p w14:paraId="5092464C">
      <w:pPr>
        <w:pStyle w:val="4"/>
        <w:numPr>
          <w:ilvl w:val="1"/>
          <w:numId w:val="0"/>
        </w:numPr>
        <w:bidi w:val="0"/>
        <w:ind w:leftChars="0"/>
        <w:rPr>
          <w:rFonts w:hint="eastAsia" w:ascii="宋体" w:hAnsi="宋体" w:eastAsia="宋体" w:cs="宋体"/>
        </w:rPr>
      </w:pPr>
      <w:bookmarkStart w:id="5" w:name="_Toc25758956"/>
      <w:r>
        <w:rPr>
          <w:rFonts w:hint="eastAsia" w:ascii="宋体" w:hAnsi="宋体" w:eastAsia="宋体" w:cs="宋体"/>
        </w:rPr>
        <w:t>2.1门户管理</w:t>
      </w:r>
      <w:bookmarkEnd w:id="5"/>
    </w:p>
    <w:p w14:paraId="3DF4360F">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门户是一个信息发布平台、以及日常的工作平台。可用于各科室日常发布新闻、通知公告信息；可以将个人待办、待阅、重点关注的事项，直观地显示在门户首页，方便使用；可以将常用功能、常用链接直接放在门户首页上，方便使用；可以直接将第三方网站、应用系统，嵌入到OA门户首页；可用于整合第三方系统，比如将BI系统数据直观地显示于门户。</w:t>
      </w:r>
    </w:p>
    <w:p w14:paraId="746A6A1E">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系统管理员可以根据实际需要，自由定义一个或多个门户（频道）。可以建立供全院浏览的门户（医院门户），可以为每个科室建立相应门户（科室门户），可以为某种业务或专题建立相应的门户（如科研门户、党建门户）。</w:t>
      </w:r>
    </w:p>
    <w:p w14:paraId="1875CD89">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每个门户（频道）中可以自由定义多个栏目，每个栏目用于发布不同性质的内容。</w:t>
      </w:r>
    </w:p>
    <w:p w14:paraId="789D12D7">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可以对每个栏目进行权限控制，使每个栏目由不同人员进行内容发布。可以限定每个门户频道、栏目哪些用户可以浏览（无权限者则隐藏不可见）。</w:t>
      </w:r>
    </w:p>
    <w:p w14:paraId="146E028A">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可以自由定义每个门户（频道）的风格，使每个科室的门户样式不同。</w:t>
      </w:r>
    </w:p>
    <w:p w14:paraId="1CABD876">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可以设置某个“栏目”需要进行流程审批，向该栏目中发布内容时，需要进行流程审批，审批通过后才能发布。审批流程可由管理员根据实际需要灵活设置和变更。</w:t>
      </w:r>
    </w:p>
    <w:p w14:paraId="7E3A429F">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▲对于红头文件（各种公文）等对版式要求严格的新闻/公告信息，可以将红头文件以附件形式上传后，将文件内容直接显示出来（无需下载后打开）。</w:t>
      </w:r>
    </w:p>
    <w:p w14:paraId="5DA99C93">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sectPr>
          <w:footerReference r:id="rId5" w:type="default"/>
          <w:pgSz w:w="11906" w:h="16838"/>
          <w:pgMar w:top="1440" w:right="1800" w:bottom="1440" w:left="1800" w:header="851" w:footer="992" w:gutter="0"/>
          <w:cols w:space="425" w:num="1"/>
          <w:docGrid w:type="lines" w:linePitch="312" w:charSpace="0"/>
        </w:sectPr>
      </w:pPr>
      <w:bookmarkStart w:id="6" w:name="_Toc25758957"/>
    </w:p>
    <w:p w14:paraId="765C9B89">
      <w:pPr>
        <w:pStyle w:val="4"/>
        <w:numPr>
          <w:ilvl w:val="1"/>
          <w:numId w:val="0"/>
        </w:numPr>
        <w:bidi w:val="0"/>
        <w:ind w:leftChars="0"/>
        <w:rPr>
          <w:rFonts w:hint="eastAsia" w:ascii="宋体" w:hAnsi="宋体" w:eastAsia="宋体" w:cs="宋体"/>
        </w:rPr>
      </w:pPr>
      <w:r>
        <w:rPr>
          <w:rFonts w:hint="eastAsia" w:ascii="宋体" w:hAnsi="宋体" w:eastAsia="宋体" w:cs="宋体"/>
        </w:rPr>
        <w:t>2.2内部邮件</w:t>
      </w:r>
      <w:bookmarkEnd w:id="6"/>
    </w:p>
    <w:p w14:paraId="0C8777C3">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▲通过本功能，每个用户都可以收、发内部邮件；可以在线修订附件；可以直观掌握每个收件人是否已阅读；可以在线发表讨论意见。内部邮件功能可以用来进行简单的请示、进行简单的任务布置和反馈。</w:t>
      </w:r>
    </w:p>
    <w:p w14:paraId="6A2951E1">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支持“回复邮件”的功能，收件人阅读邮件后，可对邮件内容进行“回复”。可以自动将当前邮件的内容生成一个HTML文件，附上回复内容及原始附件后，发送一封新“邮件”给原发件人（将其自动作为新邮件的“收件人”）</w:t>
      </w:r>
    </w:p>
    <w:p w14:paraId="5201FEFE">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支持“在线讨论”功能。阅读邮件后，每个收件人都可以点击“发表讨论”按钮，进行在线讨论。</w:t>
      </w:r>
    </w:p>
    <w:p w14:paraId="1BA569CC">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可以自定义一个或多个“邮件标签”，用户可将收件箱中成千上万的“邮件”按照自己的工作性质进行分类，在收件箱列表上点击某个“邮件标签”，即可快速列出相关邮件。</w:t>
      </w:r>
    </w:p>
    <w:p w14:paraId="6BBDE69A">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发邮件时，可以直接在收件人输入框中输入姓名（一个或几个字）或姓名的拼音首字母，系统自动筛选出相应的人员供选择，显著提高易用性。</w:t>
      </w:r>
    </w:p>
    <w:p w14:paraId="0639984C">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支持“邮件发送限制”，可以在后台设定某些人不允许给院领导、或指定人群发送“内部邮件”。</w:t>
      </w:r>
    </w:p>
    <w:p w14:paraId="24456254">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支持在线修订附件。IE、Chrome浏览器都可以直接打开邮件的附件，进行在线修订，保存后自动上传到服务器，其他人可继续修订。</w:t>
      </w:r>
    </w:p>
    <w:p w14:paraId="0AB43989">
      <w:pPr>
        <w:pStyle w:val="4"/>
        <w:numPr>
          <w:ilvl w:val="1"/>
          <w:numId w:val="0"/>
        </w:numPr>
        <w:bidi w:val="0"/>
        <w:ind w:leftChars="0"/>
        <w:rPr>
          <w:rFonts w:hint="eastAsia" w:ascii="宋体" w:hAnsi="宋体" w:eastAsia="宋体" w:cs="宋体"/>
        </w:rPr>
      </w:pPr>
      <w:bookmarkStart w:id="7" w:name="_Toc25758958"/>
      <w:r>
        <w:rPr>
          <w:rFonts w:hint="eastAsia" w:ascii="宋体" w:hAnsi="宋体" w:eastAsia="宋体" w:cs="宋体"/>
        </w:rPr>
        <w:t>2.3公文管理</w:t>
      </w:r>
      <w:bookmarkEnd w:id="7"/>
    </w:p>
    <w:p w14:paraId="5ED41288">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实现收文管理、发文管理、公文催办、公文查询。</w:t>
      </w:r>
    </w:p>
    <w:p w14:paraId="02881C38">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可自由定义多种公文模板，可自由定义收文流程、发文流程，支持拟稿、核稿、会签、套红、签发等全过程。公文稿纸模板、正式文件模板，可根据实际情况灵活定义。可定义多种公文模板。</w:t>
      </w:r>
    </w:p>
    <w:p w14:paraId="247F108F">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发文审批表、收文处理表，可根据实际情况灵活定义。</w:t>
      </w:r>
    </w:p>
    <w:p w14:paraId="2001D1E5">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发文流程、收文流程完全图形化、可视化定义。流转过程完全图形化跟踪。</w:t>
      </w:r>
    </w:p>
    <w:p w14:paraId="4776A596">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p>
    <w:p w14:paraId="45CD5051">
      <w:pPr>
        <w:pStyle w:val="4"/>
        <w:numPr>
          <w:ilvl w:val="1"/>
          <w:numId w:val="0"/>
        </w:numPr>
        <w:bidi w:val="0"/>
        <w:ind w:leftChars="0"/>
        <w:rPr>
          <w:rFonts w:hint="eastAsia" w:ascii="宋体" w:hAnsi="宋体" w:eastAsia="宋体" w:cs="宋体"/>
        </w:rPr>
      </w:pPr>
      <w:bookmarkStart w:id="8" w:name="_Toc25758959"/>
      <w:r>
        <w:rPr>
          <w:rFonts w:hint="eastAsia" w:ascii="宋体" w:hAnsi="宋体" w:eastAsia="宋体" w:cs="宋体"/>
        </w:rPr>
        <w:t>2.4会议管理</w:t>
      </w:r>
      <w:bookmarkEnd w:id="8"/>
    </w:p>
    <w:p w14:paraId="3D4B16A5">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实现会议室管理、会议申请及审批、发会议通知、写会议纪要等功能。</w:t>
      </w:r>
    </w:p>
    <w:p w14:paraId="358D70A4">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会议发起人发起新的会议申请，经过审批后，将会议通知和相关的会议资料发送给参会人员。会议审批流程可根据实际情况灵活定义及变更。</w:t>
      </w:r>
    </w:p>
    <w:p w14:paraId="6929194B">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支持用手机扫描二维码签到。签到二维码每隔30秒自动变换。</w:t>
      </w:r>
    </w:p>
    <w:p w14:paraId="704BC7E7">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支持会议冲突检测。</w:t>
      </w:r>
    </w:p>
    <w:p w14:paraId="4E526820">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参会人员可确认是否出席会议，如果无法出席会议，可以说明原因</w:t>
      </w:r>
    </w:p>
    <w:p w14:paraId="24CCB582">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一次会议申请可以包含多个时段。对于需要在一段时间内多次召开的会议，可以显著简化会议申请程序。</w:t>
      </w:r>
    </w:p>
    <w:p w14:paraId="571C2E9B">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▲可以关联会议议题，让与会人员做好准备。</w:t>
      </w:r>
    </w:p>
    <w:p w14:paraId="0871538D">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每个会议室可设定一个“管理员”，他可以协调相关的会议，并强制修改会议时间。</w:t>
      </w:r>
    </w:p>
    <w:p w14:paraId="3FED5132">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可以上传会议纪要，并且可以对会议纪要进行审批，审批通过后才可以公开查看。</w:t>
      </w:r>
    </w:p>
    <w:p w14:paraId="26ED4D64">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提供会议看板，每个会议室的使用情况一目了然。</w:t>
      </w:r>
    </w:p>
    <w:p w14:paraId="6ED94E1B">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支持灵活的会议查询，“我要参加的会议”、“我申请的会议”一目了然。</w:t>
      </w:r>
    </w:p>
    <w:p w14:paraId="6FE3F6A9">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支持“例会”功能，可以按设定的频率自动生成会议信息。例会的频率可以是每周的某一天、或每月几号、或每月第几周的某一天。</w:t>
      </w:r>
    </w:p>
    <w:p w14:paraId="67A7C23F">
      <w:pPr>
        <w:pStyle w:val="4"/>
        <w:numPr>
          <w:ilvl w:val="1"/>
          <w:numId w:val="0"/>
        </w:numPr>
        <w:bidi w:val="0"/>
        <w:ind w:leftChars="0"/>
        <w:rPr>
          <w:rFonts w:hint="eastAsia" w:ascii="宋体" w:hAnsi="宋体" w:eastAsia="宋体" w:cs="宋体"/>
        </w:rPr>
      </w:pPr>
      <w:bookmarkStart w:id="9" w:name="_Toc25758960"/>
      <w:r>
        <w:rPr>
          <w:rFonts w:hint="eastAsia" w:ascii="宋体" w:hAnsi="宋体" w:eastAsia="宋体" w:cs="宋体"/>
        </w:rPr>
        <w:t>2.5会议议题</w:t>
      </w:r>
      <w:bookmarkEnd w:id="9"/>
    </w:p>
    <w:p w14:paraId="179323C0">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各科室在线提交会议议题，审核通过后关联到会议。参会领导可提前阅读每次会议所要讨论的议题，准备好发言内容。各部门可直观获悉本部门的议题是否将在例会上讨论。</w:t>
      </w:r>
    </w:p>
    <w:p w14:paraId="4DB86732">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议题申请人可以查看所申请的议题是否同意上会，以便做好准备。</w:t>
      </w:r>
    </w:p>
    <w:p w14:paraId="16CF69C3">
      <w:pPr>
        <w:pStyle w:val="4"/>
        <w:numPr>
          <w:ilvl w:val="1"/>
          <w:numId w:val="0"/>
        </w:numPr>
        <w:bidi w:val="0"/>
        <w:ind w:leftChars="0"/>
        <w:rPr>
          <w:rFonts w:hint="eastAsia" w:ascii="宋体" w:hAnsi="宋体" w:eastAsia="宋体" w:cs="宋体"/>
        </w:rPr>
      </w:pPr>
      <w:bookmarkStart w:id="10" w:name="_Toc25758961"/>
      <w:r>
        <w:rPr>
          <w:rFonts w:hint="eastAsia" w:ascii="宋体" w:hAnsi="宋体" w:eastAsia="宋体" w:cs="宋体"/>
        </w:rPr>
        <w:t>2.6文档管理</w:t>
      </w:r>
      <w:bookmarkEnd w:id="10"/>
    </w:p>
    <w:p w14:paraId="453B7864">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可以将各种红头文件、规章制度、应急预案、常用表格等文档，上传到系统供全院职工查阅、下载。可为每个科室建立一个或多个文件夹，科室可自行上传各种文档。</w:t>
      </w:r>
    </w:p>
    <w:p w14:paraId="2A4F4BEB">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可实现权限控制。支持对目录和文件的分级授权，未经授权的人员无法进入文件夹查看内容，甚至无从得知该文件夹或文件的存在。未经文档创建人或其授权人同意，任何人都无法对文件夹进行改动和删除（包括系统管理员）。</w:t>
      </w:r>
    </w:p>
    <w:p w14:paraId="56FF610E">
      <w:pPr>
        <w:pStyle w:val="4"/>
        <w:numPr>
          <w:ilvl w:val="1"/>
          <w:numId w:val="0"/>
        </w:numPr>
        <w:bidi w:val="0"/>
        <w:ind w:leftChars="0"/>
        <w:rPr>
          <w:rFonts w:hint="eastAsia" w:ascii="宋体" w:hAnsi="宋体" w:eastAsia="宋体" w:cs="宋体"/>
        </w:rPr>
      </w:pPr>
      <w:bookmarkStart w:id="11" w:name="_Toc25758962"/>
      <w:r>
        <w:rPr>
          <w:rFonts w:hint="eastAsia" w:ascii="宋体" w:hAnsi="宋体" w:eastAsia="宋体" w:cs="宋体"/>
        </w:rPr>
        <w:t>2.7日程管理</w:t>
      </w:r>
      <w:bookmarkEnd w:id="11"/>
    </w:p>
    <w:p w14:paraId="15F488F0">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用户可以安排自己每天的工作、预约他人、查看部门内部其它人员公开的日程安排，秘书可以为领导安排日程。</w:t>
      </w:r>
    </w:p>
    <w:p w14:paraId="16C37B2C">
      <w:pPr>
        <w:pStyle w:val="4"/>
        <w:numPr>
          <w:ilvl w:val="1"/>
          <w:numId w:val="0"/>
        </w:numPr>
        <w:bidi w:val="0"/>
        <w:ind w:leftChars="0"/>
        <w:rPr>
          <w:rFonts w:hint="eastAsia" w:ascii="宋体" w:hAnsi="宋体" w:eastAsia="宋体" w:cs="宋体"/>
        </w:rPr>
      </w:pPr>
      <w:bookmarkStart w:id="12" w:name="_Toc25758963"/>
      <w:r>
        <w:rPr>
          <w:rFonts w:hint="eastAsia" w:ascii="宋体" w:hAnsi="宋体" w:eastAsia="宋体" w:cs="宋体"/>
        </w:rPr>
        <w:t>2.8任务管理</w:t>
      </w:r>
      <w:bookmarkEnd w:id="12"/>
    </w:p>
    <w:p w14:paraId="4F0AC72F">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领导可以发布一项或多项任务，承办人及时反馈进度，领导可直观监控任务完成情况。</w:t>
      </w:r>
    </w:p>
    <w:p w14:paraId="16EEE569">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任务可以拆分为多个子任务，分别指派给不同人员进行办理。子任务还可以继续拆分为子任务。</w:t>
      </w:r>
    </w:p>
    <w:p w14:paraId="27567CE2">
      <w:pPr>
        <w:pStyle w:val="4"/>
        <w:numPr>
          <w:ilvl w:val="1"/>
          <w:numId w:val="0"/>
        </w:numPr>
        <w:bidi w:val="0"/>
        <w:ind w:leftChars="0"/>
        <w:rPr>
          <w:rFonts w:hint="eastAsia" w:ascii="宋体" w:hAnsi="宋体" w:eastAsia="宋体" w:cs="宋体"/>
        </w:rPr>
      </w:pPr>
      <w:bookmarkStart w:id="13" w:name="_Toc25758965"/>
      <w:r>
        <w:rPr>
          <w:rFonts w:hint="eastAsia" w:ascii="宋体" w:hAnsi="宋体" w:eastAsia="宋体" w:cs="宋体"/>
        </w:rPr>
        <w:t>2.9活动预约</w:t>
      </w:r>
      <w:bookmarkEnd w:id="13"/>
    </w:p>
    <w:p w14:paraId="0B94E261">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实现诸如护理实训基地安排、电教室安排、各种活动报名预约等，可自由发布各种活动，在活动的开放时段内，员工可自由预约占位，可监控预约情况</w:t>
      </w:r>
    </w:p>
    <w:p w14:paraId="4E81D466">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▲管理部门预先设定各种活动的开放日期、时段、单场次容纳人数、以及相关说明，广大医务人员根据自己的实际情况自行预约占位，管理部门实时监控预约情况。</w:t>
      </w:r>
    </w:p>
    <w:p w14:paraId="3C301E46">
      <w:pPr>
        <w:pStyle w:val="4"/>
        <w:numPr>
          <w:ilvl w:val="1"/>
          <w:numId w:val="0"/>
        </w:numPr>
        <w:bidi w:val="0"/>
        <w:ind w:leftChars="0"/>
        <w:rPr>
          <w:rFonts w:hint="eastAsia" w:ascii="宋体" w:hAnsi="宋体" w:eastAsia="宋体" w:cs="宋体"/>
        </w:rPr>
      </w:pPr>
      <w:bookmarkStart w:id="14" w:name="_Toc25758966"/>
      <w:r>
        <w:rPr>
          <w:rFonts w:hint="eastAsia" w:ascii="宋体" w:hAnsi="宋体" w:eastAsia="宋体" w:cs="宋体"/>
        </w:rPr>
        <w:t>2.10调查投票</w:t>
      </w:r>
      <w:bookmarkEnd w:id="14"/>
    </w:p>
    <w:p w14:paraId="12333F19">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用于意见收集、在线投票（比如评选年度先进人物）等。</w:t>
      </w:r>
    </w:p>
    <w:p w14:paraId="0D488721">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提供问卷设计、问卷填写、调查结果统计功能。</w:t>
      </w:r>
    </w:p>
    <w:p w14:paraId="0C8FBD82">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可灵活定义多种问卷，支持单选、多选、简述等题目类型，可直观监控哪些人已提交问卷、哪些人未提交、哪些人未开封等，对调查结果可进行统计汇总。可限定最多选几项、最少选几项。</w:t>
      </w:r>
    </w:p>
    <w:p w14:paraId="6A77716E">
      <w:pPr>
        <w:pStyle w:val="4"/>
        <w:numPr>
          <w:ilvl w:val="1"/>
          <w:numId w:val="0"/>
        </w:numPr>
        <w:bidi w:val="0"/>
        <w:ind w:leftChars="0"/>
        <w:rPr>
          <w:rFonts w:hint="eastAsia" w:ascii="宋体" w:hAnsi="宋体" w:eastAsia="宋体" w:cs="宋体"/>
        </w:rPr>
      </w:pPr>
      <w:bookmarkStart w:id="15" w:name="_Toc25758967"/>
      <w:r>
        <w:rPr>
          <w:rFonts w:hint="eastAsia" w:ascii="宋体" w:hAnsi="宋体" w:eastAsia="宋体" w:cs="宋体"/>
        </w:rPr>
        <w:t>2.11车辆管理</w:t>
      </w:r>
      <w:bookmarkEnd w:id="15"/>
    </w:p>
    <w:p w14:paraId="7C9E5965">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提供用车申请及审批、维修申请及审批、统计分析等功能</w:t>
      </w:r>
    </w:p>
    <w:p w14:paraId="30B2132D">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实现对车辆的登记、使用、维修、保养等流程进行科学、有效地管理，提高车辆的利用率。</w:t>
      </w:r>
    </w:p>
    <w:p w14:paraId="4237774F">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对用车申请、维修保养事务在线审批；建立详细的车辆档案，详尽记录每辆车的基本情况、维修情况、用车情况</w:t>
      </w:r>
    </w:p>
    <w:p w14:paraId="5DDC8349">
      <w:pPr>
        <w:pStyle w:val="4"/>
        <w:numPr>
          <w:ilvl w:val="1"/>
          <w:numId w:val="0"/>
        </w:numPr>
        <w:bidi w:val="0"/>
        <w:ind w:leftChars="0"/>
        <w:rPr>
          <w:rFonts w:hint="eastAsia" w:ascii="宋体" w:hAnsi="宋体" w:eastAsia="宋体" w:cs="宋体"/>
        </w:rPr>
      </w:pPr>
      <w:bookmarkStart w:id="16" w:name="_Toc25758964"/>
      <w:r>
        <w:rPr>
          <w:rFonts w:hint="eastAsia" w:ascii="宋体" w:hAnsi="宋体" w:eastAsia="宋体" w:cs="宋体"/>
        </w:rPr>
        <w:t>2.12手机短信</w:t>
      </w:r>
      <w:bookmarkEnd w:id="16"/>
    </w:p>
    <w:p w14:paraId="42C150D5">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与医院选定的短信平台接口，实现短信收、发，可通过短信发送系统各种提醒</w:t>
      </w:r>
    </w:p>
    <w:p w14:paraId="41F76CAB">
      <w:pPr>
        <w:pStyle w:val="4"/>
        <w:numPr>
          <w:ilvl w:val="1"/>
          <w:numId w:val="0"/>
        </w:numPr>
        <w:bidi w:val="0"/>
        <w:ind w:leftChars="0"/>
        <w:rPr>
          <w:rFonts w:hint="eastAsia" w:ascii="宋体" w:hAnsi="宋体" w:eastAsia="宋体" w:cs="宋体"/>
        </w:rPr>
      </w:pPr>
      <w:bookmarkStart w:id="17" w:name="_Toc25758968"/>
      <w:r>
        <w:rPr>
          <w:rFonts w:hint="eastAsia" w:ascii="宋体" w:hAnsi="宋体" w:eastAsia="宋体" w:cs="宋体"/>
        </w:rPr>
        <w:t>2.13通讯录</w:t>
      </w:r>
      <w:bookmarkEnd w:id="17"/>
    </w:p>
    <w:p w14:paraId="5AB22FF7">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可创建个人专有通讯录、以及共享通讯录，可以自动生成全院职工内部通讯录，可在线查看、检索，可进行权限控制</w:t>
      </w:r>
    </w:p>
    <w:p w14:paraId="521F5CE2">
      <w:pPr>
        <w:pStyle w:val="4"/>
        <w:numPr>
          <w:ilvl w:val="1"/>
          <w:numId w:val="0"/>
        </w:numPr>
        <w:bidi w:val="0"/>
        <w:ind w:leftChars="0"/>
        <w:rPr>
          <w:rFonts w:hint="eastAsia" w:ascii="宋体" w:hAnsi="宋体" w:eastAsia="宋体" w:cs="宋体"/>
        </w:rPr>
      </w:pPr>
      <w:bookmarkStart w:id="18" w:name="_Toc25758969"/>
      <w:r>
        <w:rPr>
          <w:rFonts w:hint="eastAsia" w:ascii="宋体" w:hAnsi="宋体" w:eastAsia="宋体" w:cs="宋体"/>
        </w:rPr>
        <w:t>2.14组织架构管理</w:t>
      </w:r>
      <w:bookmarkEnd w:id="18"/>
    </w:p>
    <w:p w14:paraId="55670613">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将医院的组织架构维护到系统中。可通过Excel导入。</w:t>
      </w:r>
    </w:p>
    <w:p w14:paraId="498F2FDB">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支持集团化的组织架构，可将总院、多个分院及门诊部都纳入系统进行统一管理</w:t>
      </w:r>
    </w:p>
    <w:p w14:paraId="73AC0307">
      <w:pPr>
        <w:pStyle w:val="4"/>
        <w:numPr>
          <w:ilvl w:val="1"/>
          <w:numId w:val="0"/>
        </w:numPr>
        <w:bidi w:val="0"/>
        <w:ind w:leftChars="0"/>
        <w:rPr>
          <w:rFonts w:hint="eastAsia" w:ascii="宋体" w:hAnsi="宋体" w:eastAsia="宋体" w:cs="宋体"/>
        </w:rPr>
      </w:pPr>
      <w:bookmarkStart w:id="19" w:name="_Toc25758970"/>
      <w:r>
        <w:rPr>
          <w:rFonts w:hint="eastAsia" w:ascii="宋体" w:hAnsi="宋体" w:eastAsia="宋体" w:cs="宋体"/>
        </w:rPr>
        <w:t>2.15用户帐号管理</w:t>
      </w:r>
      <w:bookmarkEnd w:id="19"/>
    </w:p>
    <w:p w14:paraId="77B76C1C">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管理全院每个职工的系统帐号，记录每个人的基本信息、电话号码、岗位、职称、职务等</w:t>
      </w:r>
    </w:p>
    <w:p w14:paraId="2DF423DC">
      <w:pPr>
        <w:pStyle w:val="4"/>
        <w:numPr>
          <w:ilvl w:val="1"/>
          <w:numId w:val="0"/>
        </w:numPr>
        <w:bidi w:val="0"/>
        <w:ind w:leftChars="0"/>
        <w:rPr>
          <w:rFonts w:hint="eastAsia" w:ascii="宋体" w:hAnsi="宋体" w:eastAsia="宋体" w:cs="宋体"/>
        </w:rPr>
      </w:pPr>
      <w:bookmarkStart w:id="20" w:name="_Toc25758971"/>
      <w:r>
        <w:rPr>
          <w:rFonts w:hint="eastAsia" w:ascii="宋体" w:hAnsi="宋体" w:eastAsia="宋体" w:cs="宋体"/>
        </w:rPr>
        <w:t>2.16系统安全管理</w:t>
      </w:r>
      <w:bookmarkEnd w:id="20"/>
    </w:p>
    <w:p w14:paraId="2F15AB02">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用户输错密码超过规定次数后自动锁定账号，可强制要求用户密码的强度。</w:t>
      </w:r>
    </w:p>
    <w:p w14:paraId="4FBB4CDE">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提供完善的权限控制体系，提供基于个人、部门、角色的多维度权限控制，可以对每个功能进行严格的权限控制，即使多人对某项功能具有相同权限，各自看到的内容也不同。</w:t>
      </w:r>
    </w:p>
    <w:p w14:paraId="001CD066">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提供完善的用户登录日志、操作日志、系统运行日志，为系统安全审计提供支持。</w:t>
      </w:r>
    </w:p>
    <w:p w14:paraId="01151A09">
      <w:pPr>
        <w:pStyle w:val="4"/>
        <w:numPr>
          <w:ilvl w:val="1"/>
          <w:numId w:val="0"/>
        </w:numPr>
        <w:bidi w:val="0"/>
        <w:ind w:leftChars="0"/>
        <w:rPr>
          <w:rFonts w:hint="eastAsia" w:ascii="宋体" w:hAnsi="宋体" w:eastAsia="宋体" w:cs="宋体"/>
        </w:rPr>
      </w:pPr>
      <w:bookmarkStart w:id="21" w:name="_Toc25758972"/>
      <w:r>
        <w:rPr>
          <w:rFonts w:hint="eastAsia" w:ascii="宋体" w:hAnsi="宋体" w:eastAsia="宋体" w:cs="宋体"/>
        </w:rPr>
        <w:t>2.17流程管理</w:t>
      </w:r>
      <w:bookmarkEnd w:id="21"/>
    </w:p>
    <w:p w14:paraId="01743A3F">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提供流程设计、发起申请、流程审批、流程监控、流程催办等功能。可以根据用户的实际情况，灵活定义多种流程，灵活定义流程的流转路径。支持串行、并行、分流/合流、条件判断、子流程等复杂的流程逻辑。</w:t>
      </w:r>
    </w:p>
    <w:p w14:paraId="32E6699E">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支持转签、加签、知会、委托、退回、撤回、撤销、拒绝等动作。</w:t>
      </w:r>
    </w:p>
    <w:p w14:paraId="36D55A74">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通过“转签”动作，可以很好地解决院办秘书经常需要将流程转给相关部门办理的问题。院办秘书将流程“转签”给某职能部门负责人后，即从自己的“待办流程”中消失，职能部门负责人又可将流程“转签”给某位员工办理，员工办理完毕后流程自动返回到部门负责人，部门负责人进行相应处理后，自动返回给院办秘书，院办秘书继续后续处理。</w:t>
      </w:r>
    </w:p>
    <w:p w14:paraId="52616F7A">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流转过程中可随时添加执行人、添加知会人、以及设置代理人。可根据机构部门、人员角色等规则，确定流程步骤的执行人。</w:t>
      </w:r>
    </w:p>
    <w:p w14:paraId="59A4C90A">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流程设计、流转跟踪必须图形化、可视化，支持流程模板导入导出。</w:t>
      </w:r>
    </w:p>
    <w:p w14:paraId="318D94D4">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支持“流入”、“流出”机制，可通过调用Webservice、WebAPI、或者访问第三方系统数据库的方式，实现流程审批过程中读取/回写第三方数据，几乎“零编程”即可实现与第三方系统的流程整合。</w:t>
      </w:r>
    </w:p>
    <w:p w14:paraId="2CE75B02">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提供“流程审批中心”，将所有需要当前用户审核、审批的流程，全部集中到“流程审批中心”实现“一站式审批”，无需进入到各个业务模块中去审批。对流程数据提供灵活的查询检索功能，以及统计分析功能。</w:t>
      </w:r>
    </w:p>
    <w:p w14:paraId="0550806C">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支持流程“代理”。如果用户某段时期不方便审批流程，可以设置“代理”，将全部流程或某些类别的流程，在“代理时间”内，全部自动转交给“代理人”进行审批。过了设定的“代理时间”或者用户明确关闭了“代理”，则流程代理自动失效。</w:t>
      </w:r>
    </w:p>
    <w:p w14:paraId="7B2DEA9E">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提供流程监控功能。可以将每种流程的“监控权限”指定给一个或一组用户，这些用户可对该类流程进行监测，对异常情况进行干预，可以强制回退或跳转到某个步骤，可以修改当前审批/处理人，也可以添加一个或多个审批/处理人，也可以直接代替流程的当前处理人进行审批，对于长时间未办理的流程，可以进行督促、催办。</w:t>
      </w:r>
    </w:p>
    <w:p w14:paraId="1576F72E">
      <w:pPr>
        <w:pStyle w:val="4"/>
        <w:numPr>
          <w:ilvl w:val="1"/>
          <w:numId w:val="0"/>
        </w:numPr>
        <w:bidi w:val="0"/>
        <w:ind w:leftChars="0"/>
        <w:rPr>
          <w:rFonts w:hint="eastAsia" w:ascii="宋体" w:hAnsi="宋体" w:eastAsia="宋体" w:cs="宋体"/>
        </w:rPr>
      </w:pPr>
      <w:bookmarkStart w:id="22" w:name="_Toc25758973"/>
      <w:r>
        <w:rPr>
          <w:rFonts w:hint="eastAsia" w:ascii="宋体" w:hAnsi="宋体" w:eastAsia="宋体" w:cs="宋体"/>
        </w:rPr>
        <w:t>2.18自定义表单</w:t>
      </w:r>
      <w:bookmarkEnd w:id="22"/>
    </w:p>
    <w:p w14:paraId="41FE297F">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提供所见即所得的自定义表单设计器，可根据医院实际情况，自由设计制作诸如处方权申请、物资领用申请、印章使用申请等各种业务表格，发布后即可直接使用，无需开发人员编写程序。（</w:t>
      </w:r>
      <w:r>
        <w:rPr>
          <w:rFonts w:hint="eastAsia" w:ascii="宋体" w:hAnsi="宋体" w:eastAsia="宋体" w:cs="宋体"/>
          <w:color w:val="000000" w:themeColor="text1"/>
          <w:kern w:val="0"/>
          <w:sz w:val="28"/>
          <w:szCs w:val="28"/>
          <w14:textFill>
            <w14:solidFill>
              <w14:schemeClr w14:val="tx1"/>
            </w14:solidFill>
          </w14:textFill>
        </w:rPr>
        <w:t>▲</w:t>
      </w:r>
      <w:r>
        <w:rPr>
          <w:rFonts w:hint="eastAsia" w:ascii="宋体" w:hAnsi="宋体" w:eastAsia="宋体" w:cs="宋体"/>
          <w:kern w:val="0"/>
          <w:sz w:val="28"/>
          <w:szCs w:val="28"/>
        </w:rPr>
        <w:t>所投产品具有具有</w:t>
      </w:r>
      <w:r>
        <w:rPr>
          <w:rFonts w:hint="eastAsia" w:ascii="宋体" w:hAnsi="宋体" w:eastAsia="宋体" w:cs="宋体"/>
          <w:sz w:val="28"/>
          <w:szCs w:val="28"/>
        </w:rPr>
        <w:t>动态表单软件</w:t>
      </w:r>
      <w:r>
        <w:rPr>
          <w:rFonts w:hint="eastAsia" w:ascii="宋体" w:hAnsi="宋体" w:eastAsia="宋体" w:cs="宋体"/>
          <w:kern w:val="0"/>
          <w:sz w:val="28"/>
          <w:szCs w:val="28"/>
        </w:rPr>
        <w:t>相关软件著作权证书）</w:t>
      </w:r>
    </w:p>
    <w:p w14:paraId="355A6FFE">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表单设计完全可视化，与本系统无缝集成，直接使用本系统的流程引擎，直接共用组织架构、人员信息、权限管理体系，与本系统形成一个整体。</w:t>
      </w:r>
    </w:p>
    <w:p w14:paraId="4EA1BF3B">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通过自定义表单扩充的业务功能，系统内置灵活的查询检索功能，可对业务数据进行任意条件的组合查询、检索。</w:t>
      </w:r>
    </w:p>
    <w:p w14:paraId="456C27B9">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支持多视图，同一个表单，可以有多个不同的视图，审批流程的每个步骤，可以绑定不同的表单视图，使每个流程步骤，显示的界面不一样，实现查看及操作权限控制。</w:t>
      </w:r>
    </w:p>
    <w:p w14:paraId="3092C18B">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支持基本数据类型、网页常用控件、附件上传/下载、字典等。</w:t>
      </w:r>
    </w:p>
    <w:p w14:paraId="1867F751">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可以控制表单上各数据项的操作权限：可将表单上各数据项定义为只读、可写、必填等。</w:t>
      </w:r>
    </w:p>
    <w:p w14:paraId="3B2DD338">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支持数据校验，可根据表单项的数据类型，验证数据的合法性，对于必填项，如果未输入有效值，系统显示提示信息并拒绝提交。</w:t>
      </w:r>
    </w:p>
    <w:p w14:paraId="28E85AB7">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支持重复表（表单中可以嵌入一个或多个二维表格）</w:t>
      </w:r>
    </w:p>
    <w:p w14:paraId="2C1138AB">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支持以WebService、数据库视图或表等方式，从其他系统获取数据。</w:t>
      </w:r>
    </w:p>
    <w:p w14:paraId="187EA557">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▲支持数据联动机制，当输入一个数据项之后，自动从数据库或第三方获取并显示出一个或多个相关数据项。</w:t>
      </w:r>
    </w:p>
    <w:p w14:paraId="06DE3CFF">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输入数据时，可以弹出数据列表供选取，该数据列表可以来源于数据库或第三方，并且可以包含一个或多个字段。</w:t>
      </w:r>
    </w:p>
    <w:p w14:paraId="51E5707D">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支持版本管理机制，经过版本审批的表单模板才允许使用。新发布的表单版本只在提交新的业务申请时使用，历史数据仍使用旧的表单版本</w:t>
      </w:r>
    </w:p>
    <w:p w14:paraId="23F5EEEB">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支持自动计算。可通过设定复杂的计算表达式，对表单域进行自动计算，计算函数包括简单的运算和复杂的统计，可实现表单数据项的计算和合计。</w:t>
      </w:r>
    </w:p>
    <w:p w14:paraId="70BA2B9F">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支持缺省值。可以在新录入时给某些数据项自动赋一个缺省值（如当前用户账号、当前用户所在部门、当前时间等），无需申请人手动填写。</w:t>
      </w:r>
    </w:p>
    <w:p w14:paraId="0EAE0EB5">
      <w:pPr>
        <w:pStyle w:val="4"/>
        <w:numPr>
          <w:ilvl w:val="1"/>
          <w:numId w:val="0"/>
        </w:numPr>
        <w:bidi w:val="0"/>
        <w:ind w:leftChars="0"/>
        <w:rPr>
          <w:rFonts w:hint="eastAsia" w:ascii="宋体" w:hAnsi="宋体" w:eastAsia="宋体" w:cs="宋体"/>
        </w:rPr>
      </w:pPr>
      <w:bookmarkStart w:id="23" w:name="_Toc25758975"/>
      <w:r>
        <w:rPr>
          <w:rFonts w:hint="eastAsia" w:ascii="宋体" w:hAnsi="宋体" w:eastAsia="宋体" w:cs="宋体"/>
        </w:rPr>
        <w:t>2.19移动应用</w:t>
      </w:r>
      <w:bookmarkEnd w:id="23"/>
    </w:p>
    <w:p w14:paraId="7B5B2D57">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各级领导出差期间，无法及时审批相关事务，通过智能手机、iPad等移动设备，可随时、随地进行事务处理。</w:t>
      </w:r>
    </w:p>
    <w:p w14:paraId="48C16766">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全面支持Android、iOS智能手机、平板电脑，支持企业微信、钉钉平台。</w:t>
      </w:r>
    </w:p>
    <w:p w14:paraId="03D09156">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如果有需要当前用户处理的流程、内部邮件等事务时，系统会自动推送消息到企业微信、钉钉，点击即可打开进行处理。</w:t>
      </w:r>
    </w:p>
    <w:p w14:paraId="37C26246">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与PC端完全同步，共用相同的数据库、组织架构、权限体系，与PC版本相互补充，既保障系统强大性，又保障办公的便捷性。</w:t>
      </w:r>
    </w:p>
    <w:p w14:paraId="16D54471">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手机端无须安装任何处理软件，可以在线阅读WORD、PDF、TIF等附件。</w:t>
      </w:r>
    </w:p>
    <w:p w14:paraId="76D44216">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在手机上可进行流程审批、收/发内部邮件、查看通知/新闻、查看/创建个人日程、查看本人要参加的会议并确认是否参会、查看/上传公共文档等常用功能。</w:t>
      </w:r>
    </w:p>
    <w:p w14:paraId="62980098">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查看通知/新闻</w:t>
      </w:r>
    </w:p>
    <w:p w14:paraId="174740A2">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可以查看各科室在OA门户栏目中发布的各种新闻、通知公告信息。</w:t>
      </w:r>
    </w:p>
    <w:p w14:paraId="22A74BE8">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查看/处理内部邮件</w:t>
      </w:r>
    </w:p>
    <w:p w14:paraId="58BC52E6">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可查看、处理内部邮件；可撰写新邮件；可在线发表讨论意见；可对邮件进行签阅确认。</w:t>
      </w:r>
    </w:p>
    <w:p w14:paraId="08FD38F7">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查看/处理审批流程</w:t>
      </w:r>
    </w:p>
    <w:p w14:paraId="5E093D93">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可以查看和审批业务流程；可发起自定义表单流程及常用流程；可按照流程标题进行检索。（</w:t>
      </w:r>
      <w:r>
        <w:rPr>
          <w:rFonts w:hint="eastAsia" w:ascii="宋体" w:hAnsi="宋体" w:eastAsia="宋体" w:cs="宋体"/>
          <w:color w:val="000000" w:themeColor="text1"/>
          <w:kern w:val="0"/>
          <w:sz w:val="28"/>
          <w:szCs w:val="28"/>
          <w14:textFill>
            <w14:solidFill>
              <w14:schemeClr w14:val="tx1"/>
            </w14:solidFill>
          </w14:textFill>
        </w:rPr>
        <w:t>▲</w:t>
      </w:r>
      <w:r>
        <w:rPr>
          <w:rFonts w:hint="eastAsia" w:ascii="宋体" w:hAnsi="宋体" w:eastAsia="宋体" w:cs="宋体"/>
          <w:kern w:val="0"/>
          <w:sz w:val="28"/>
          <w:szCs w:val="28"/>
        </w:rPr>
        <w:t>所投产品具有具有业务流程软件相关软件著作权证书）</w:t>
      </w:r>
    </w:p>
    <w:p w14:paraId="351A75B9">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查看/管理日程</w:t>
      </w:r>
    </w:p>
    <w:p w14:paraId="48F1E7F6">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可以查看日程、新增日程。</w:t>
      </w:r>
    </w:p>
    <w:p w14:paraId="02423CBA">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任务管理</w:t>
      </w:r>
    </w:p>
    <w:p w14:paraId="6F03B0FE">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可以通过手机办理任务，可以处理及查阅个人负责及协办的任务；</w:t>
      </w:r>
    </w:p>
    <w:p w14:paraId="2B3AE91D">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查看/管理文档</w:t>
      </w:r>
    </w:p>
    <w:p w14:paraId="21C34271">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可以上传（安卓系统）、下载、查看文档。</w:t>
      </w:r>
    </w:p>
    <w:p w14:paraId="0ABB3199">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调查投票</w:t>
      </w:r>
    </w:p>
    <w:p w14:paraId="75FECE38">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可以填写调查问卷，进行在线投票。</w:t>
      </w:r>
    </w:p>
    <w:p w14:paraId="51C1D90B">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会议管理</w:t>
      </w:r>
    </w:p>
    <w:p w14:paraId="37458361">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可以查看本人要参加的会议并确认是否参会，可以查看会议议题，作好会议准备。</w:t>
      </w:r>
    </w:p>
    <w:p w14:paraId="48F01BDB">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公文管理</w:t>
      </w:r>
    </w:p>
    <w:p w14:paraId="455EBE89">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可进行公文审批及公文查询；可查询待办公文、已办公文、以及我发起的公文；可按公文标题进行检索。</w:t>
      </w:r>
    </w:p>
    <w:p w14:paraId="3C7D0ECE">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p>
    <w:p w14:paraId="03DDAF94">
      <w:pPr>
        <w:pStyle w:val="4"/>
        <w:numPr>
          <w:ilvl w:val="1"/>
          <w:numId w:val="0"/>
        </w:numPr>
        <w:bidi w:val="0"/>
        <w:ind w:leftChars="0"/>
        <w:rPr>
          <w:rFonts w:hint="eastAsia" w:ascii="宋体" w:hAnsi="宋体" w:eastAsia="宋体" w:cs="宋体"/>
        </w:rPr>
      </w:pPr>
      <w:r>
        <w:rPr>
          <w:rFonts w:hint="eastAsia" w:ascii="宋体" w:hAnsi="宋体" w:eastAsia="宋体" w:cs="宋体"/>
          <w:lang w:val="en-US" w:eastAsia="zh-CN"/>
        </w:rPr>
        <w:t xml:space="preserve">2.20 </w:t>
      </w:r>
      <w:r>
        <w:rPr>
          <w:rFonts w:hint="eastAsia" w:ascii="宋体" w:hAnsi="宋体" w:eastAsia="宋体" w:cs="宋体"/>
        </w:rPr>
        <w:t>医德医风管理</w:t>
      </w:r>
    </w:p>
    <w:p w14:paraId="3B7550F4">
      <w:pPr>
        <w:pStyle w:val="5"/>
        <w:numPr>
          <w:ilvl w:val="2"/>
          <w:numId w:val="0"/>
        </w:numPr>
        <w:bidi w:val="0"/>
        <w:ind w:leftChars="0"/>
        <w:rPr>
          <w:rFonts w:hint="eastAsia" w:ascii="宋体" w:hAnsi="宋体" w:eastAsia="宋体" w:cs="宋体"/>
        </w:rPr>
      </w:pPr>
      <w:r>
        <w:rPr>
          <w:rFonts w:hint="eastAsia" w:ascii="宋体" w:hAnsi="宋体" w:eastAsia="宋体" w:cs="宋体"/>
          <w:lang w:val="en-US" w:eastAsia="zh-CN"/>
        </w:rPr>
        <w:t>2.20</w:t>
      </w:r>
      <w:r>
        <w:rPr>
          <w:rFonts w:hint="eastAsia" w:ascii="宋体" w:hAnsi="宋体" w:eastAsia="宋体" w:cs="宋体"/>
        </w:rPr>
        <w:t>.1线上廉洁承诺</w:t>
      </w:r>
    </w:p>
    <w:p w14:paraId="1D939100">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线上廉洁承诺书、责任书签订，签订文档自动留存。可以清楚地看到各科室的签订情况，【查看承诺书】中可以根据科室、日期来进行筛选、查看已签署人员的线上签名。可导出廉洁承诺书、责任书打印。</w:t>
      </w:r>
    </w:p>
    <w:p w14:paraId="3AF98A30">
      <w:pPr>
        <w:pStyle w:val="5"/>
        <w:numPr>
          <w:ilvl w:val="2"/>
          <w:numId w:val="0"/>
        </w:numPr>
        <w:bidi w:val="0"/>
        <w:ind w:leftChars="0"/>
        <w:rPr>
          <w:rFonts w:hint="eastAsia" w:ascii="宋体" w:hAnsi="宋体" w:eastAsia="宋体" w:cs="宋体"/>
          <w:lang w:val="en-US" w:eastAsia="zh-CN"/>
        </w:rPr>
      </w:pPr>
      <w:r>
        <w:rPr>
          <w:rFonts w:hint="eastAsia" w:ascii="宋体" w:hAnsi="宋体" w:eastAsia="宋体" w:cs="宋体"/>
          <w:lang w:val="en-US" w:eastAsia="zh-CN"/>
        </w:rPr>
        <w:t>2.20.2拒收‘红包’电子档案</w:t>
      </w:r>
    </w:p>
    <w:p w14:paraId="2CE95E2D">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拒收“红包”，收到锦旗、表扬信、荣誉及处罚情况进行电子化档案管理。</w:t>
      </w:r>
    </w:p>
    <w:p w14:paraId="6588AC50">
      <w:pPr>
        <w:pStyle w:val="5"/>
        <w:numPr>
          <w:ilvl w:val="2"/>
          <w:numId w:val="0"/>
        </w:numPr>
        <w:bidi w:val="0"/>
        <w:ind w:leftChars="0"/>
        <w:rPr>
          <w:rFonts w:hint="eastAsia" w:ascii="宋体" w:hAnsi="宋体" w:eastAsia="宋体" w:cs="宋体"/>
          <w:lang w:val="en-US" w:eastAsia="zh-CN"/>
        </w:rPr>
      </w:pPr>
      <w:r>
        <w:rPr>
          <w:rFonts w:hint="eastAsia" w:ascii="宋体" w:hAnsi="宋体" w:eastAsia="宋体" w:cs="宋体"/>
          <w:lang w:val="en-US" w:eastAsia="zh-CN"/>
        </w:rPr>
        <w:t>2.20.3医德医风考评</w:t>
      </w:r>
    </w:p>
    <w:p w14:paraId="4D087887">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实现医德医风考评自我评价、科室评价、医院评价流程，考评标准可关联职工上传的医德医风档案，自动统计最终分数，考评完成可导出打印各职工考评档案结果。（</w:t>
      </w:r>
      <w:r>
        <w:rPr>
          <w:rFonts w:hint="eastAsia" w:ascii="宋体" w:hAnsi="宋体" w:eastAsia="宋体" w:cs="宋体"/>
          <w:color w:val="000000" w:themeColor="text1"/>
          <w:kern w:val="0"/>
          <w:sz w:val="28"/>
          <w:szCs w:val="28"/>
          <w14:textFill>
            <w14:solidFill>
              <w14:schemeClr w14:val="tx1"/>
            </w14:solidFill>
          </w14:textFill>
        </w:rPr>
        <w:t>▲</w:t>
      </w:r>
      <w:r>
        <w:rPr>
          <w:rFonts w:hint="eastAsia" w:ascii="宋体" w:hAnsi="宋体" w:eastAsia="宋体" w:cs="宋体"/>
          <w:kern w:val="0"/>
          <w:sz w:val="28"/>
          <w:szCs w:val="28"/>
        </w:rPr>
        <w:t>所投产品具有具有</w:t>
      </w:r>
      <w:r>
        <w:rPr>
          <w:rFonts w:hint="eastAsia" w:ascii="宋体" w:hAnsi="宋体" w:eastAsia="宋体" w:cs="宋体"/>
          <w:sz w:val="28"/>
          <w:szCs w:val="28"/>
        </w:rPr>
        <w:t>医德医风软件</w:t>
      </w:r>
      <w:r>
        <w:rPr>
          <w:rFonts w:hint="eastAsia" w:ascii="宋体" w:hAnsi="宋体" w:eastAsia="宋体" w:cs="宋体"/>
          <w:kern w:val="0"/>
          <w:sz w:val="28"/>
          <w:szCs w:val="28"/>
        </w:rPr>
        <w:t>相关软件著作权证书）</w:t>
      </w:r>
    </w:p>
    <w:p w14:paraId="2CA55497">
      <w:pPr>
        <w:pStyle w:val="5"/>
        <w:numPr>
          <w:ilvl w:val="2"/>
          <w:numId w:val="0"/>
        </w:numPr>
        <w:bidi w:val="0"/>
        <w:ind w:leftChars="0"/>
        <w:rPr>
          <w:rFonts w:hint="eastAsia" w:ascii="宋体" w:hAnsi="宋体" w:eastAsia="宋体" w:cs="宋体"/>
          <w:lang w:val="en-US" w:eastAsia="zh-CN"/>
        </w:rPr>
      </w:pPr>
      <w:r>
        <w:rPr>
          <w:rFonts w:hint="eastAsia" w:ascii="宋体" w:hAnsi="宋体" w:eastAsia="宋体" w:cs="宋体"/>
          <w:lang w:val="en-US" w:eastAsia="zh-CN"/>
        </w:rPr>
        <w:t>2.20.4谈话记录</w:t>
      </w:r>
    </w:p>
    <w:p w14:paraId="76B3F0A8">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谈话提醒，提醒谈话、日常谈话、警诚谈话的线上记录、保存、打印、统计。可线上签名，导出打印。</w:t>
      </w:r>
    </w:p>
    <w:p w14:paraId="6C00F671">
      <w:pPr>
        <w:pStyle w:val="5"/>
        <w:numPr>
          <w:ilvl w:val="2"/>
          <w:numId w:val="0"/>
        </w:numPr>
        <w:bidi w:val="0"/>
        <w:ind w:leftChars="0"/>
        <w:rPr>
          <w:rFonts w:hint="eastAsia" w:ascii="宋体" w:hAnsi="宋体" w:eastAsia="宋体" w:cs="宋体"/>
          <w:lang w:val="en-US" w:eastAsia="zh-CN"/>
        </w:rPr>
      </w:pPr>
      <w:r>
        <w:rPr>
          <w:rFonts w:hint="eastAsia" w:ascii="宋体" w:hAnsi="宋体" w:eastAsia="宋体" w:cs="宋体"/>
          <w:lang w:val="en-US" w:eastAsia="zh-CN"/>
        </w:rPr>
        <w:t>2.20.5投诉纠纷记录</w:t>
      </w:r>
    </w:p>
    <w:p w14:paraId="379CBB97">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记录投诉纠纷事件及处理结果，自动统计涉及投诉或纠纷的科室、个人，关联医德考评标准，自动统计分数。可导出打印。</w:t>
      </w:r>
    </w:p>
    <w:p w14:paraId="7FB22DF2">
      <w:pPr>
        <w:pStyle w:val="5"/>
        <w:numPr>
          <w:ilvl w:val="2"/>
          <w:numId w:val="0"/>
        </w:numPr>
        <w:bidi w:val="0"/>
        <w:ind w:leftChars="0"/>
        <w:rPr>
          <w:rFonts w:hint="eastAsia" w:ascii="宋体" w:hAnsi="宋体" w:eastAsia="宋体" w:cs="宋体"/>
          <w:lang w:val="en-US" w:eastAsia="zh-CN"/>
        </w:rPr>
      </w:pPr>
      <w:r>
        <w:rPr>
          <w:rFonts w:hint="eastAsia" w:ascii="宋体" w:hAnsi="宋体" w:eastAsia="宋体" w:cs="宋体"/>
          <w:lang w:val="en-US" w:eastAsia="zh-CN"/>
        </w:rPr>
        <w:t>2.20.6电子廉政档案</w:t>
      </w:r>
    </w:p>
    <w:p w14:paraId="4432D7A6">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实现个人基本信息、廉洁自律情况、家庭成员和亲属信息、信访反映、组织处理、党纪政务处分、个人事项报告、个人财产信息登记、文件的存取与分级管理。</w:t>
      </w:r>
    </w:p>
    <w:p w14:paraId="6F15C387">
      <w:pPr>
        <w:pStyle w:val="4"/>
        <w:numPr>
          <w:ilvl w:val="1"/>
          <w:numId w:val="0"/>
        </w:numPr>
        <w:bidi w:val="0"/>
        <w:ind w:leftChars="0"/>
        <w:rPr>
          <w:rFonts w:hint="eastAsia" w:ascii="宋体" w:hAnsi="宋体" w:eastAsia="宋体" w:cs="宋体"/>
          <w:lang w:val="en-US" w:eastAsia="zh-CN"/>
        </w:rPr>
      </w:pPr>
      <w:r>
        <w:rPr>
          <w:rFonts w:hint="eastAsia" w:ascii="宋体" w:hAnsi="宋体" w:eastAsia="宋体" w:cs="宋体"/>
          <w:lang w:val="en-US" w:eastAsia="zh-CN"/>
        </w:rPr>
        <w:t>2.21 接口开发对接</w:t>
      </w:r>
    </w:p>
    <w:p w14:paraId="112275BD">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提供标准接口：</w:t>
      </w:r>
    </w:p>
    <w:p w14:paraId="5CDCE5C0">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提供标准接口，可实现与业务系统间数据对接，按要求和规范进行数据传递，获取。</w:t>
      </w:r>
    </w:p>
    <w:p w14:paraId="00ED84E4">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对接企业微信：</w:t>
      </w:r>
    </w:p>
    <w:p w14:paraId="3DD7EE4E">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系统可对接企业微信，与企业微信同步组织架构，支持在微信端使用通告公告、公文流转、会议管理、内部邮件、流程审批等功能，同时各种提醒也可以推送到微信端。</w:t>
      </w:r>
    </w:p>
    <w:p w14:paraId="6B16405D">
      <w:pPr>
        <w:pStyle w:val="4"/>
        <w:numPr>
          <w:ilvl w:val="1"/>
          <w:numId w:val="0"/>
        </w:numPr>
        <w:bidi w:val="0"/>
        <w:ind w:leftChars="0"/>
        <w:rPr>
          <w:rFonts w:hint="eastAsia" w:ascii="宋体" w:hAnsi="宋体" w:eastAsia="宋体" w:cs="宋体"/>
          <w:lang w:val="en-US" w:eastAsia="zh-CN"/>
        </w:rPr>
      </w:pPr>
      <w:r>
        <w:rPr>
          <w:rFonts w:hint="eastAsia" w:ascii="宋体" w:hAnsi="宋体" w:eastAsia="宋体" w:cs="宋体"/>
          <w:lang w:val="en-US" w:eastAsia="zh-CN"/>
        </w:rPr>
        <w:t>2.22 支持AI</w:t>
      </w:r>
    </w:p>
    <w:p w14:paraId="69C6B246">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提供与DeepSeek 对接，在OA上提供入口，提供OA在线的DeepSeek服务。提供辅助建设医院智能体的服务，完成医院智能体建设。</w:t>
      </w:r>
    </w:p>
    <w:p w14:paraId="153878AF">
      <w:pPr>
        <w:rPr>
          <w:rFonts w:hint="eastAsia" w:ascii="宋体" w:hAnsi="宋体" w:eastAsia="宋体" w:cs="宋体"/>
          <w:lang w:val="en-US" w:eastAsia="zh-CN"/>
        </w:rPr>
      </w:pPr>
      <w:r>
        <w:rPr>
          <w:rFonts w:hint="eastAsia" w:ascii="宋体" w:hAnsi="宋体" w:eastAsia="宋体" w:cs="宋体"/>
          <w:lang w:val="en-US" w:eastAsia="zh-CN"/>
        </w:rPr>
        <w:br w:type="page"/>
      </w:r>
    </w:p>
    <w:p w14:paraId="0E48EEF0">
      <w:pPr>
        <w:pStyle w:val="2"/>
        <w:numPr>
          <w:ilvl w:val="0"/>
          <w:numId w:val="0"/>
        </w:numPr>
        <w:bidi w:val="0"/>
        <w:ind w:leftChars="0"/>
        <w:rPr>
          <w:rFonts w:hint="eastAsia" w:ascii="宋体" w:hAnsi="宋体" w:eastAsia="宋体" w:cs="宋体"/>
          <w:lang w:val="en-US" w:eastAsia="zh-CN"/>
        </w:rPr>
      </w:pPr>
      <w:r>
        <w:rPr>
          <w:rFonts w:hint="eastAsia" w:ascii="宋体" w:hAnsi="宋体" w:eastAsia="宋体" w:cs="宋体"/>
          <w:lang w:val="en-US" w:eastAsia="zh-CN"/>
        </w:rPr>
        <w:t>三</w:t>
      </w:r>
      <w:r>
        <w:rPr>
          <w:rFonts w:hint="eastAsia" w:ascii="宋体" w:hAnsi="宋体" w:eastAsia="宋体" w:cs="宋体"/>
        </w:rPr>
        <w:t>、</w:t>
      </w:r>
      <w:r>
        <w:rPr>
          <w:rFonts w:hint="eastAsia" w:ascii="宋体" w:hAnsi="宋体" w:eastAsia="宋体" w:cs="宋体"/>
          <w:b/>
          <w:bCs/>
          <w:kern w:val="2"/>
          <w:sz w:val="32"/>
          <w:szCs w:val="32"/>
          <w:lang w:val="en-US" w:eastAsia="zh-CN" w:bidi="ar-SA"/>
        </w:rPr>
        <w:t>医院私有云电脑系统建设</w:t>
      </w:r>
    </w:p>
    <w:p w14:paraId="78BF36DC">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采购桌面云一体机，通过一体机部署桌面云虚拟终端。虚拟终端具有快速备份和快速还原的特性，可以大大缩短各个虚拟终端系统部署和系统还原时间，提高办公人员和运维人员的工作效率，提高工程师的测试效率。</w:t>
      </w:r>
    </w:p>
    <w:p w14:paraId="66E17849">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虚拟终端提供集中的数据存储备份和统一的用户终端管控，提供50个用户接入能力和授权。保障第三方供应商或运维方不得向未授权者提供运维相关数据，或将相关数据用于运维以外的目的；保障运维过程中的数据安全，防止数据泄露、篡改和损毁等安全事件发生。</w:t>
      </w:r>
    </w:p>
    <w:p w14:paraId="08218D44">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性能及功能要求：</w:t>
      </w:r>
    </w:p>
    <w:p w14:paraId="505A5643">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▲支持通过公有云的态势感知平台接人监测私有云环境，进行巡检和监控告警。</w:t>
      </w:r>
    </w:p>
    <w:p w14:paraId="73EBD5F4">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▲支持通过管理台发起远程协助，辅助用户解决桌面使用问题，并支持实时聊天。</w:t>
      </w:r>
    </w:p>
    <w:p w14:paraId="661087A3">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▲支持AES-128、AES-192、AES-256、国密SM4加密算法，保密文件需申请脱密后才能外发，审计记录可查，放置企业数据泄露。</w:t>
      </w:r>
    </w:p>
    <w:p w14:paraId="7D74D0C2">
      <w:pPr>
        <w:pStyle w:val="3"/>
        <w:widowControl/>
        <w:overflowPunct w:val="0"/>
        <w:autoSpaceDE w:val="0"/>
        <w:autoSpaceDN w:val="0"/>
        <w:adjustRightInd w:val="0"/>
        <w:spacing w:before="156" w:beforeLines="50" w:after="156" w:afterLines="50"/>
        <w:ind w:firstLine="560"/>
        <w:jc w:val="left"/>
        <w:textAlignment w:val="baseline"/>
        <w:rPr>
          <w:rFonts w:hint="eastAsia" w:ascii="宋体" w:hAnsi="宋体" w:eastAsia="宋体" w:cs="宋体"/>
          <w:kern w:val="0"/>
          <w:sz w:val="28"/>
          <w:szCs w:val="28"/>
        </w:rPr>
      </w:pPr>
      <w:r>
        <w:rPr>
          <w:rFonts w:hint="eastAsia" w:ascii="宋体" w:hAnsi="宋体" w:eastAsia="宋体" w:cs="宋体"/>
          <w:kern w:val="0"/>
          <w:sz w:val="28"/>
          <w:szCs w:val="28"/>
        </w:rPr>
        <w:t>▲支持公有云企业与企业之间加密授权互通。被授权企业的加密用户可明文浏览授权企业的加密文件。</w:t>
      </w:r>
    </w:p>
    <w:p w14:paraId="343B21C1">
      <w:pPr>
        <w:pStyle w:val="2"/>
        <w:numPr>
          <w:ilvl w:val="0"/>
          <w:numId w:val="0"/>
        </w:numPr>
        <w:bidi w:val="0"/>
        <w:ind w:leftChars="0"/>
        <w:rPr>
          <w:rFonts w:hint="eastAsia" w:ascii="宋体" w:hAnsi="宋体" w:eastAsia="宋体" w:cs="宋体"/>
          <w:lang w:val="en-US" w:eastAsia="zh-CN"/>
        </w:rPr>
      </w:pPr>
      <w:r>
        <w:rPr>
          <w:rFonts w:hint="eastAsia" w:ascii="宋体" w:hAnsi="宋体" w:eastAsia="宋体" w:cs="宋体"/>
          <w:lang w:val="en-US" w:eastAsia="zh-CN"/>
        </w:rPr>
        <w:t>四、项目建设需求清单</w:t>
      </w:r>
    </w:p>
    <w:tbl>
      <w:tblPr>
        <w:tblStyle w:val="30"/>
        <w:tblW w:w="5277" w:type="pct"/>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0"/>
        <w:gridCol w:w="1004"/>
        <w:gridCol w:w="1059"/>
        <w:gridCol w:w="62"/>
        <w:gridCol w:w="24"/>
        <w:gridCol w:w="4571"/>
        <w:gridCol w:w="1226"/>
        <w:gridCol w:w="1265"/>
      </w:tblGrid>
      <w:tr w14:paraId="5A2BA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300" w:type="pct"/>
            <w:vAlign w:val="center"/>
          </w:tcPr>
          <w:p w14:paraId="6F31DAAD">
            <w:pPr>
              <w:pStyle w:val="47"/>
              <w:widowControl/>
              <w:numPr>
                <w:ilvl w:val="0"/>
                <w:numId w:val="0"/>
              </w:numPr>
              <w:ind w:left="425" w:leftChars="0" w:hanging="425" w:firstLineChars="0"/>
              <w:jc w:val="center"/>
              <w:rPr>
                <w:rFonts w:ascii="宋体" w:hAnsi="宋体" w:eastAsia="宋体" w:cs="宋体"/>
                <w:b/>
                <w:bCs/>
                <w:kern w:val="0"/>
                <w:sz w:val="24"/>
                <w:szCs w:val="24"/>
              </w:rPr>
            </w:pPr>
            <w:r>
              <w:rPr>
                <w:rFonts w:hint="default" w:ascii="宋体" w:hAnsi="宋体" w:eastAsia="宋体" w:cs="宋体"/>
                <w:b/>
                <w:bCs/>
                <w:kern w:val="0"/>
                <w:sz w:val="24"/>
                <w:szCs w:val="24"/>
                <w:lang w:val="en-US" w:eastAsia="zh-CN" w:bidi="ar-SA"/>
              </w:rPr>
              <w:t>.</w:t>
            </w:r>
            <w:r>
              <w:rPr>
                <w:rFonts w:hint="eastAsia" w:ascii="宋体" w:hAnsi="宋体" w:eastAsia="宋体" w:cs="宋体"/>
                <w:b/>
                <w:bCs/>
                <w:kern w:val="0"/>
                <w:sz w:val="24"/>
                <w:szCs w:val="24"/>
              </w:rPr>
              <w:t>序号</w:t>
            </w:r>
          </w:p>
        </w:tc>
        <w:tc>
          <w:tcPr>
            <w:tcW w:w="512" w:type="pct"/>
            <w:vAlign w:val="center"/>
          </w:tcPr>
          <w:p w14:paraId="661888B5">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名称</w:t>
            </w:r>
          </w:p>
        </w:tc>
        <w:tc>
          <w:tcPr>
            <w:tcW w:w="540" w:type="pct"/>
            <w:vAlign w:val="center"/>
          </w:tcPr>
          <w:p w14:paraId="07510FBF">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功能模块</w:t>
            </w:r>
          </w:p>
        </w:tc>
        <w:tc>
          <w:tcPr>
            <w:tcW w:w="2375" w:type="pct"/>
            <w:gridSpan w:val="3"/>
            <w:vAlign w:val="center"/>
          </w:tcPr>
          <w:p w14:paraId="7D418AC2">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功能描述</w:t>
            </w:r>
          </w:p>
        </w:tc>
        <w:tc>
          <w:tcPr>
            <w:tcW w:w="625" w:type="pct"/>
            <w:vAlign w:val="center"/>
          </w:tcPr>
          <w:p w14:paraId="400C16C1">
            <w:pPr>
              <w:widowControl/>
              <w:jc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单位</w:t>
            </w:r>
          </w:p>
        </w:tc>
        <w:tc>
          <w:tcPr>
            <w:tcW w:w="645" w:type="pct"/>
            <w:vAlign w:val="center"/>
          </w:tcPr>
          <w:p w14:paraId="247DDEB3">
            <w:pPr>
              <w:widowControl/>
              <w:jc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数量</w:t>
            </w:r>
          </w:p>
        </w:tc>
      </w:tr>
      <w:tr w14:paraId="636F8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5000" w:type="pct"/>
            <w:gridSpan w:val="8"/>
            <w:vAlign w:val="center"/>
          </w:tcPr>
          <w:p w14:paraId="4A0AE692">
            <w:pPr>
              <w:widowControl/>
              <w:jc w:val="center"/>
              <w:rPr>
                <w:rFonts w:hint="default"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医院办公自动化系统（OA系统）建设</w:t>
            </w:r>
          </w:p>
        </w:tc>
      </w:tr>
      <w:tr w14:paraId="28C79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300" w:type="pct"/>
            <w:vMerge w:val="restart"/>
          </w:tcPr>
          <w:p w14:paraId="23F94919">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w:t>
            </w:r>
          </w:p>
          <w:p w14:paraId="7F611615">
            <w:pPr>
              <w:widowControl/>
              <w:jc w:val="center"/>
              <w:rPr>
                <w:rFonts w:ascii="宋体" w:hAnsi="宋体" w:eastAsia="宋体" w:cs="宋体"/>
                <w:color w:val="000000"/>
                <w:kern w:val="0"/>
                <w:sz w:val="24"/>
                <w:szCs w:val="24"/>
              </w:rPr>
            </w:pPr>
          </w:p>
        </w:tc>
        <w:tc>
          <w:tcPr>
            <w:tcW w:w="512" w:type="pct"/>
            <w:vMerge w:val="restart"/>
            <w:vAlign w:val="center"/>
          </w:tcPr>
          <w:p w14:paraId="16409C04">
            <w:pPr>
              <w:widowControl/>
              <w:numPr>
                <w:ilvl w:val="0"/>
                <w:numId w:val="0"/>
              </w:numPr>
              <w:ind w:left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医院 OA 系统</w:t>
            </w:r>
          </w:p>
          <w:p w14:paraId="2B74D880">
            <w:pPr>
              <w:widowControl/>
              <w:jc w:val="center"/>
              <w:rPr>
                <w:rFonts w:ascii="宋体" w:hAnsi="宋体" w:eastAsia="宋体" w:cs="宋体"/>
                <w:color w:val="000000"/>
                <w:kern w:val="0"/>
                <w:sz w:val="24"/>
                <w:szCs w:val="24"/>
              </w:rPr>
            </w:pPr>
          </w:p>
        </w:tc>
        <w:tc>
          <w:tcPr>
            <w:tcW w:w="540" w:type="pct"/>
            <w:vMerge w:val="restart"/>
            <w:vAlign w:val="center"/>
          </w:tcPr>
          <w:p w14:paraId="350C2387">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门户管理</w:t>
            </w:r>
          </w:p>
        </w:tc>
        <w:tc>
          <w:tcPr>
            <w:tcW w:w="2375" w:type="pct"/>
            <w:gridSpan w:val="3"/>
          </w:tcPr>
          <w:p w14:paraId="4F0E3A2D">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建立医院门户、科室门户、个人门户；</w:t>
            </w:r>
          </w:p>
        </w:tc>
        <w:tc>
          <w:tcPr>
            <w:tcW w:w="625" w:type="pct"/>
            <w:vMerge w:val="restart"/>
          </w:tcPr>
          <w:p w14:paraId="5FFD6AA4">
            <w:pPr>
              <w:widowControl/>
              <w:jc w:val="left"/>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项</w:t>
            </w:r>
          </w:p>
        </w:tc>
        <w:tc>
          <w:tcPr>
            <w:tcW w:w="645" w:type="pct"/>
            <w:vMerge w:val="restart"/>
          </w:tcPr>
          <w:p w14:paraId="68818780">
            <w:pPr>
              <w:widowControl/>
              <w:jc w:val="left"/>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w:t>
            </w:r>
          </w:p>
        </w:tc>
      </w:tr>
      <w:tr w14:paraId="26AF4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300" w:type="pct"/>
            <w:vMerge w:val="continue"/>
          </w:tcPr>
          <w:p w14:paraId="530E002C">
            <w:pPr>
              <w:widowControl/>
              <w:jc w:val="left"/>
              <w:rPr>
                <w:rFonts w:ascii="宋体" w:hAnsi="宋体" w:eastAsia="宋体" w:cs="宋体"/>
                <w:color w:val="000000"/>
                <w:kern w:val="0"/>
                <w:sz w:val="24"/>
                <w:szCs w:val="24"/>
              </w:rPr>
            </w:pPr>
          </w:p>
        </w:tc>
        <w:tc>
          <w:tcPr>
            <w:tcW w:w="512" w:type="pct"/>
            <w:vMerge w:val="continue"/>
          </w:tcPr>
          <w:p w14:paraId="02F06D66">
            <w:pPr>
              <w:widowControl/>
              <w:jc w:val="left"/>
              <w:rPr>
                <w:rFonts w:ascii="宋体" w:hAnsi="宋体" w:eastAsia="宋体" w:cs="宋体"/>
                <w:color w:val="000000"/>
                <w:kern w:val="0"/>
                <w:sz w:val="24"/>
                <w:szCs w:val="24"/>
              </w:rPr>
            </w:pPr>
          </w:p>
        </w:tc>
        <w:tc>
          <w:tcPr>
            <w:tcW w:w="540" w:type="pct"/>
            <w:vMerge w:val="continue"/>
            <w:vAlign w:val="center"/>
          </w:tcPr>
          <w:p w14:paraId="0F681E02">
            <w:pPr>
              <w:widowControl/>
              <w:jc w:val="center"/>
              <w:rPr>
                <w:rFonts w:ascii="宋体" w:hAnsi="宋体" w:eastAsia="宋体" w:cs="宋体"/>
                <w:color w:val="000000"/>
                <w:kern w:val="0"/>
                <w:sz w:val="24"/>
                <w:szCs w:val="24"/>
              </w:rPr>
            </w:pPr>
          </w:p>
        </w:tc>
        <w:tc>
          <w:tcPr>
            <w:tcW w:w="2375" w:type="pct"/>
            <w:gridSpan w:val="3"/>
          </w:tcPr>
          <w:p w14:paraId="7EE3F203">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在门户上可以发布通知公告、新闻信息；</w:t>
            </w:r>
          </w:p>
        </w:tc>
        <w:tc>
          <w:tcPr>
            <w:tcW w:w="625" w:type="pct"/>
            <w:vMerge w:val="continue"/>
          </w:tcPr>
          <w:p w14:paraId="2BB5183D">
            <w:pPr>
              <w:widowControl/>
              <w:jc w:val="left"/>
              <w:rPr>
                <w:rFonts w:hint="eastAsia" w:ascii="宋体" w:hAnsi="宋体" w:eastAsia="宋体" w:cs="宋体"/>
                <w:color w:val="000000"/>
                <w:kern w:val="0"/>
                <w:sz w:val="24"/>
                <w:szCs w:val="24"/>
              </w:rPr>
            </w:pPr>
          </w:p>
        </w:tc>
        <w:tc>
          <w:tcPr>
            <w:tcW w:w="645" w:type="pct"/>
            <w:vMerge w:val="continue"/>
          </w:tcPr>
          <w:p w14:paraId="651C6D13">
            <w:pPr>
              <w:widowControl/>
              <w:jc w:val="left"/>
              <w:rPr>
                <w:rFonts w:hint="eastAsia" w:ascii="宋体" w:hAnsi="宋体" w:eastAsia="宋体" w:cs="宋体"/>
                <w:color w:val="000000"/>
                <w:kern w:val="0"/>
                <w:sz w:val="24"/>
                <w:szCs w:val="24"/>
              </w:rPr>
            </w:pPr>
          </w:p>
        </w:tc>
      </w:tr>
      <w:tr w14:paraId="506D5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300" w:type="pct"/>
            <w:vMerge w:val="continue"/>
          </w:tcPr>
          <w:p w14:paraId="12B1F952">
            <w:pPr>
              <w:widowControl/>
              <w:jc w:val="left"/>
              <w:rPr>
                <w:rFonts w:ascii="宋体" w:hAnsi="宋体" w:eastAsia="宋体" w:cs="宋体"/>
                <w:color w:val="000000"/>
                <w:kern w:val="0"/>
                <w:sz w:val="24"/>
                <w:szCs w:val="24"/>
              </w:rPr>
            </w:pPr>
          </w:p>
        </w:tc>
        <w:tc>
          <w:tcPr>
            <w:tcW w:w="512" w:type="pct"/>
            <w:vMerge w:val="continue"/>
          </w:tcPr>
          <w:p w14:paraId="4185C28C">
            <w:pPr>
              <w:widowControl/>
              <w:jc w:val="left"/>
              <w:rPr>
                <w:rFonts w:ascii="宋体" w:hAnsi="宋体" w:eastAsia="宋体" w:cs="宋体"/>
                <w:color w:val="000000"/>
                <w:kern w:val="0"/>
                <w:sz w:val="24"/>
                <w:szCs w:val="24"/>
              </w:rPr>
            </w:pPr>
          </w:p>
        </w:tc>
        <w:tc>
          <w:tcPr>
            <w:tcW w:w="540" w:type="pct"/>
            <w:vMerge w:val="continue"/>
            <w:vAlign w:val="center"/>
          </w:tcPr>
          <w:p w14:paraId="39591305">
            <w:pPr>
              <w:widowControl/>
              <w:jc w:val="center"/>
              <w:rPr>
                <w:rFonts w:ascii="宋体" w:hAnsi="宋体" w:eastAsia="宋体" w:cs="宋体"/>
                <w:color w:val="000000"/>
                <w:kern w:val="0"/>
                <w:sz w:val="24"/>
                <w:szCs w:val="24"/>
              </w:rPr>
            </w:pPr>
          </w:p>
        </w:tc>
        <w:tc>
          <w:tcPr>
            <w:tcW w:w="2375" w:type="pct"/>
            <w:gridSpan w:val="3"/>
          </w:tcPr>
          <w:p w14:paraId="6256C2FF">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可以根据医院实际需要，定义门户频道、栏目、以及显示风格；</w:t>
            </w:r>
          </w:p>
        </w:tc>
        <w:tc>
          <w:tcPr>
            <w:tcW w:w="625" w:type="pct"/>
            <w:vMerge w:val="continue"/>
          </w:tcPr>
          <w:p w14:paraId="08F46D0E">
            <w:pPr>
              <w:widowControl/>
              <w:jc w:val="left"/>
              <w:rPr>
                <w:rFonts w:hint="eastAsia" w:ascii="宋体" w:hAnsi="宋体" w:eastAsia="宋体" w:cs="宋体"/>
                <w:color w:val="000000"/>
                <w:kern w:val="0"/>
                <w:sz w:val="24"/>
                <w:szCs w:val="24"/>
              </w:rPr>
            </w:pPr>
          </w:p>
        </w:tc>
        <w:tc>
          <w:tcPr>
            <w:tcW w:w="645" w:type="pct"/>
            <w:vMerge w:val="continue"/>
          </w:tcPr>
          <w:p w14:paraId="3E9405F2">
            <w:pPr>
              <w:widowControl/>
              <w:jc w:val="left"/>
              <w:rPr>
                <w:rFonts w:hint="eastAsia" w:ascii="宋体" w:hAnsi="宋体" w:eastAsia="宋体" w:cs="宋体"/>
                <w:color w:val="000000"/>
                <w:kern w:val="0"/>
                <w:sz w:val="24"/>
                <w:szCs w:val="24"/>
              </w:rPr>
            </w:pPr>
          </w:p>
        </w:tc>
      </w:tr>
      <w:tr w14:paraId="7AC6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300" w:type="pct"/>
            <w:vMerge w:val="continue"/>
          </w:tcPr>
          <w:p w14:paraId="1BA9C6B2">
            <w:pPr>
              <w:widowControl/>
              <w:jc w:val="left"/>
              <w:rPr>
                <w:rFonts w:ascii="宋体" w:hAnsi="宋体" w:eastAsia="宋体" w:cs="宋体"/>
                <w:color w:val="000000"/>
                <w:kern w:val="0"/>
                <w:sz w:val="24"/>
                <w:szCs w:val="24"/>
              </w:rPr>
            </w:pPr>
          </w:p>
        </w:tc>
        <w:tc>
          <w:tcPr>
            <w:tcW w:w="512" w:type="pct"/>
            <w:vMerge w:val="continue"/>
          </w:tcPr>
          <w:p w14:paraId="3F15814B">
            <w:pPr>
              <w:widowControl/>
              <w:jc w:val="left"/>
              <w:rPr>
                <w:rFonts w:ascii="宋体" w:hAnsi="宋体" w:eastAsia="宋体" w:cs="宋体"/>
                <w:color w:val="000000"/>
                <w:kern w:val="0"/>
                <w:sz w:val="24"/>
                <w:szCs w:val="24"/>
              </w:rPr>
            </w:pPr>
          </w:p>
        </w:tc>
        <w:tc>
          <w:tcPr>
            <w:tcW w:w="540" w:type="pct"/>
            <w:vMerge w:val="continue"/>
            <w:vAlign w:val="center"/>
          </w:tcPr>
          <w:p w14:paraId="66A66103">
            <w:pPr>
              <w:widowControl/>
              <w:jc w:val="center"/>
              <w:rPr>
                <w:rFonts w:ascii="宋体" w:hAnsi="宋体" w:eastAsia="宋体" w:cs="宋体"/>
                <w:color w:val="000000"/>
                <w:kern w:val="0"/>
                <w:sz w:val="24"/>
                <w:szCs w:val="24"/>
              </w:rPr>
            </w:pPr>
          </w:p>
        </w:tc>
        <w:tc>
          <w:tcPr>
            <w:tcW w:w="2375" w:type="pct"/>
            <w:gridSpan w:val="3"/>
          </w:tcPr>
          <w:p w14:paraId="4DC1E85A">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可以对门户频道、栏目进行权限控制；</w:t>
            </w:r>
          </w:p>
        </w:tc>
        <w:tc>
          <w:tcPr>
            <w:tcW w:w="625" w:type="pct"/>
            <w:vMerge w:val="continue"/>
          </w:tcPr>
          <w:p w14:paraId="3ACB8A4A">
            <w:pPr>
              <w:widowControl/>
              <w:jc w:val="left"/>
              <w:rPr>
                <w:rFonts w:hint="eastAsia" w:ascii="宋体" w:hAnsi="宋体" w:eastAsia="宋体" w:cs="宋体"/>
                <w:color w:val="000000"/>
                <w:kern w:val="0"/>
                <w:sz w:val="24"/>
                <w:szCs w:val="24"/>
              </w:rPr>
            </w:pPr>
          </w:p>
        </w:tc>
        <w:tc>
          <w:tcPr>
            <w:tcW w:w="645" w:type="pct"/>
            <w:vMerge w:val="continue"/>
          </w:tcPr>
          <w:p w14:paraId="2C13C9D1">
            <w:pPr>
              <w:widowControl/>
              <w:jc w:val="left"/>
              <w:rPr>
                <w:rFonts w:hint="eastAsia" w:ascii="宋体" w:hAnsi="宋体" w:eastAsia="宋体" w:cs="宋体"/>
                <w:color w:val="000000"/>
                <w:kern w:val="0"/>
                <w:sz w:val="24"/>
                <w:szCs w:val="24"/>
              </w:rPr>
            </w:pPr>
          </w:p>
        </w:tc>
      </w:tr>
      <w:tr w14:paraId="58AAE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300" w:type="pct"/>
            <w:vMerge w:val="continue"/>
          </w:tcPr>
          <w:p w14:paraId="21933521">
            <w:pPr>
              <w:widowControl/>
              <w:jc w:val="left"/>
              <w:rPr>
                <w:rFonts w:ascii="宋体" w:hAnsi="宋体" w:eastAsia="宋体" w:cs="宋体"/>
                <w:color w:val="000000"/>
                <w:kern w:val="0"/>
                <w:sz w:val="24"/>
                <w:szCs w:val="24"/>
              </w:rPr>
            </w:pPr>
          </w:p>
        </w:tc>
        <w:tc>
          <w:tcPr>
            <w:tcW w:w="512" w:type="pct"/>
            <w:vMerge w:val="continue"/>
          </w:tcPr>
          <w:p w14:paraId="3DDC91E1">
            <w:pPr>
              <w:widowControl/>
              <w:jc w:val="left"/>
              <w:rPr>
                <w:rFonts w:ascii="宋体" w:hAnsi="宋体" w:eastAsia="宋体" w:cs="宋体"/>
                <w:color w:val="000000"/>
                <w:kern w:val="0"/>
                <w:sz w:val="24"/>
                <w:szCs w:val="24"/>
              </w:rPr>
            </w:pPr>
          </w:p>
        </w:tc>
        <w:tc>
          <w:tcPr>
            <w:tcW w:w="540" w:type="pct"/>
            <w:vMerge w:val="continue"/>
            <w:vAlign w:val="center"/>
          </w:tcPr>
          <w:p w14:paraId="7F1D65ED">
            <w:pPr>
              <w:widowControl/>
              <w:jc w:val="center"/>
              <w:rPr>
                <w:rFonts w:ascii="宋体" w:hAnsi="宋体" w:eastAsia="宋体" w:cs="宋体"/>
                <w:color w:val="000000"/>
                <w:kern w:val="0"/>
                <w:sz w:val="24"/>
                <w:szCs w:val="24"/>
              </w:rPr>
            </w:pPr>
          </w:p>
        </w:tc>
        <w:tc>
          <w:tcPr>
            <w:tcW w:w="2375" w:type="pct"/>
            <w:gridSpan w:val="3"/>
          </w:tcPr>
          <w:p w14:paraId="3B48BFEA">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可以将个人待办、待阅、重点关注的事项，直接显示在门户首页；</w:t>
            </w:r>
          </w:p>
        </w:tc>
        <w:tc>
          <w:tcPr>
            <w:tcW w:w="625" w:type="pct"/>
            <w:vMerge w:val="continue"/>
          </w:tcPr>
          <w:p w14:paraId="43CE8AE8">
            <w:pPr>
              <w:widowControl/>
              <w:jc w:val="left"/>
              <w:rPr>
                <w:rFonts w:hint="eastAsia" w:ascii="宋体" w:hAnsi="宋体" w:eastAsia="宋体" w:cs="宋体"/>
                <w:color w:val="000000"/>
                <w:kern w:val="0"/>
                <w:sz w:val="24"/>
                <w:szCs w:val="24"/>
              </w:rPr>
            </w:pPr>
          </w:p>
        </w:tc>
        <w:tc>
          <w:tcPr>
            <w:tcW w:w="645" w:type="pct"/>
            <w:vMerge w:val="continue"/>
          </w:tcPr>
          <w:p w14:paraId="0E6F342B">
            <w:pPr>
              <w:widowControl/>
              <w:jc w:val="left"/>
              <w:rPr>
                <w:rFonts w:hint="eastAsia" w:ascii="宋体" w:hAnsi="宋体" w:eastAsia="宋体" w:cs="宋体"/>
                <w:color w:val="000000"/>
                <w:kern w:val="0"/>
                <w:sz w:val="24"/>
                <w:szCs w:val="24"/>
              </w:rPr>
            </w:pPr>
          </w:p>
        </w:tc>
      </w:tr>
      <w:tr w14:paraId="72A98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300" w:type="pct"/>
            <w:vMerge w:val="continue"/>
          </w:tcPr>
          <w:p w14:paraId="71C644B4">
            <w:pPr>
              <w:widowControl/>
              <w:jc w:val="left"/>
              <w:rPr>
                <w:rFonts w:ascii="宋体" w:hAnsi="宋体" w:eastAsia="宋体" w:cs="宋体"/>
                <w:color w:val="000000"/>
                <w:kern w:val="0"/>
                <w:sz w:val="24"/>
                <w:szCs w:val="24"/>
              </w:rPr>
            </w:pPr>
          </w:p>
        </w:tc>
        <w:tc>
          <w:tcPr>
            <w:tcW w:w="512" w:type="pct"/>
            <w:vMerge w:val="continue"/>
          </w:tcPr>
          <w:p w14:paraId="579A2A2E">
            <w:pPr>
              <w:widowControl/>
              <w:jc w:val="left"/>
              <w:rPr>
                <w:rFonts w:ascii="宋体" w:hAnsi="宋体" w:eastAsia="宋体" w:cs="宋体"/>
                <w:color w:val="000000"/>
                <w:kern w:val="0"/>
                <w:sz w:val="24"/>
                <w:szCs w:val="24"/>
              </w:rPr>
            </w:pPr>
          </w:p>
        </w:tc>
        <w:tc>
          <w:tcPr>
            <w:tcW w:w="540" w:type="pct"/>
            <w:vAlign w:val="center"/>
          </w:tcPr>
          <w:p w14:paraId="33A1F4E7">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内部邮件</w:t>
            </w:r>
          </w:p>
        </w:tc>
        <w:tc>
          <w:tcPr>
            <w:tcW w:w="2375" w:type="pct"/>
            <w:gridSpan w:val="3"/>
          </w:tcPr>
          <w:p w14:paraId="0E714CEA">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可以收、发内部邮件，可以在线修订附件（Word、Excel附件），可以直观掌握每个收件人是否已阅读，可以在线发表讨论意见。</w:t>
            </w:r>
          </w:p>
        </w:tc>
        <w:tc>
          <w:tcPr>
            <w:tcW w:w="625" w:type="pct"/>
            <w:vMerge w:val="continue"/>
          </w:tcPr>
          <w:p w14:paraId="73A7643E">
            <w:pPr>
              <w:widowControl/>
              <w:jc w:val="left"/>
              <w:rPr>
                <w:rFonts w:hint="eastAsia" w:ascii="宋体" w:hAnsi="宋体" w:eastAsia="宋体" w:cs="宋体"/>
                <w:color w:val="000000"/>
                <w:kern w:val="0"/>
                <w:sz w:val="24"/>
                <w:szCs w:val="24"/>
              </w:rPr>
            </w:pPr>
          </w:p>
        </w:tc>
        <w:tc>
          <w:tcPr>
            <w:tcW w:w="645" w:type="pct"/>
            <w:vMerge w:val="continue"/>
          </w:tcPr>
          <w:p w14:paraId="0346CDD0">
            <w:pPr>
              <w:widowControl/>
              <w:jc w:val="left"/>
              <w:rPr>
                <w:rFonts w:hint="eastAsia" w:ascii="宋体" w:hAnsi="宋体" w:eastAsia="宋体" w:cs="宋体"/>
                <w:color w:val="000000"/>
                <w:kern w:val="0"/>
                <w:sz w:val="24"/>
                <w:szCs w:val="24"/>
              </w:rPr>
            </w:pPr>
          </w:p>
        </w:tc>
      </w:tr>
      <w:tr w14:paraId="1C97C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300" w:type="pct"/>
            <w:vMerge w:val="continue"/>
          </w:tcPr>
          <w:p w14:paraId="784D9A16">
            <w:pPr>
              <w:widowControl/>
              <w:jc w:val="left"/>
              <w:rPr>
                <w:rFonts w:ascii="宋体" w:hAnsi="宋体" w:eastAsia="宋体" w:cs="宋体"/>
                <w:color w:val="000000"/>
                <w:kern w:val="0"/>
                <w:sz w:val="24"/>
                <w:szCs w:val="24"/>
              </w:rPr>
            </w:pPr>
          </w:p>
        </w:tc>
        <w:tc>
          <w:tcPr>
            <w:tcW w:w="512" w:type="pct"/>
            <w:vMerge w:val="continue"/>
          </w:tcPr>
          <w:p w14:paraId="472363B8">
            <w:pPr>
              <w:widowControl/>
              <w:jc w:val="left"/>
              <w:rPr>
                <w:rFonts w:ascii="宋体" w:hAnsi="宋体" w:eastAsia="宋体" w:cs="宋体"/>
                <w:color w:val="000000"/>
                <w:kern w:val="0"/>
                <w:sz w:val="24"/>
                <w:szCs w:val="24"/>
              </w:rPr>
            </w:pPr>
          </w:p>
        </w:tc>
        <w:tc>
          <w:tcPr>
            <w:tcW w:w="540" w:type="pct"/>
            <w:vMerge w:val="restart"/>
            <w:vAlign w:val="center"/>
          </w:tcPr>
          <w:p w14:paraId="1166FD41">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公文管理</w:t>
            </w:r>
          </w:p>
        </w:tc>
        <w:tc>
          <w:tcPr>
            <w:tcW w:w="2375" w:type="pct"/>
            <w:gridSpan w:val="3"/>
          </w:tcPr>
          <w:p w14:paraId="3848F227">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支持收文管理、发文管理；</w:t>
            </w:r>
          </w:p>
        </w:tc>
        <w:tc>
          <w:tcPr>
            <w:tcW w:w="625" w:type="pct"/>
            <w:vMerge w:val="continue"/>
          </w:tcPr>
          <w:p w14:paraId="3F270E86">
            <w:pPr>
              <w:widowControl/>
              <w:jc w:val="left"/>
              <w:rPr>
                <w:rFonts w:hint="eastAsia" w:ascii="宋体" w:hAnsi="宋体" w:eastAsia="宋体" w:cs="宋体"/>
                <w:color w:val="000000"/>
                <w:kern w:val="0"/>
                <w:sz w:val="24"/>
                <w:szCs w:val="24"/>
              </w:rPr>
            </w:pPr>
          </w:p>
        </w:tc>
        <w:tc>
          <w:tcPr>
            <w:tcW w:w="645" w:type="pct"/>
            <w:vMerge w:val="continue"/>
          </w:tcPr>
          <w:p w14:paraId="2AD57B38">
            <w:pPr>
              <w:widowControl/>
              <w:jc w:val="left"/>
              <w:rPr>
                <w:rFonts w:hint="eastAsia" w:ascii="宋体" w:hAnsi="宋体" w:eastAsia="宋体" w:cs="宋体"/>
                <w:color w:val="000000"/>
                <w:kern w:val="0"/>
                <w:sz w:val="24"/>
                <w:szCs w:val="24"/>
              </w:rPr>
            </w:pPr>
          </w:p>
        </w:tc>
      </w:tr>
      <w:tr w14:paraId="414A8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300" w:type="pct"/>
            <w:vMerge w:val="continue"/>
          </w:tcPr>
          <w:p w14:paraId="45BBBA2D">
            <w:pPr>
              <w:widowControl/>
              <w:jc w:val="left"/>
              <w:rPr>
                <w:rFonts w:ascii="宋体" w:hAnsi="宋体" w:eastAsia="宋体" w:cs="宋体"/>
                <w:color w:val="000000"/>
                <w:kern w:val="0"/>
                <w:sz w:val="24"/>
                <w:szCs w:val="24"/>
              </w:rPr>
            </w:pPr>
          </w:p>
        </w:tc>
        <w:tc>
          <w:tcPr>
            <w:tcW w:w="512" w:type="pct"/>
            <w:vMerge w:val="continue"/>
          </w:tcPr>
          <w:p w14:paraId="0D731498">
            <w:pPr>
              <w:widowControl/>
              <w:jc w:val="left"/>
              <w:rPr>
                <w:rFonts w:ascii="宋体" w:hAnsi="宋体" w:eastAsia="宋体" w:cs="宋体"/>
                <w:color w:val="000000"/>
                <w:kern w:val="0"/>
                <w:sz w:val="24"/>
                <w:szCs w:val="24"/>
              </w:rPr>
            </w:pPr>
          </w:p>
        </w:tc>
        <w:tc>
          <w:tcPr>
            <w:tcW w:w="540" w:type="pct"/>
            <w:vMerge w:val="continue"/>
            <w:vAlign w:val="center"/>
          </w:tcPr>
          <w:p w14:paraId="0E525432">
            <w:pPr>
              <w:widowControl/>
              <w:jc w:val="center"/>
              <w:rPr>
                <w:rFonts w:ascii="宋体" w:hAnsi="宋体" w:eastAsia="宋体" w:cs="宋体"/>
                <w:color w:val="000000"/>
                <w:kern w:val="0"/>
                <w:sz w:val="24"/>
                <w:szCs w:val="24"/>
              </w:rPr>
            </w:pPr>
          </w:p>
        </w:tc>
        <w:tc>
          <w:tcPr>
            <w:tcW w:w="2375" w:type="pct"/>
            <w:gridSpan w:val="3"/>
          </w:tcPr>
          <w:p w14:paraId="63728F76">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公文稿纸模板、正式文件模板，可以根据实际情况进行定义，可以定义多种公文模板；</w:t>
            </w:r>
          </w:p>
        </w:tc>
        <w:tc>
          <w:tcPr>
            <w:tcW w:w="625" w:type="pct"/>
            <w:vMerge w:val="continue"/>
          </w:tcPr>
          <w:p w14:paraId="5FC1028C">
            <w:pPr>
              <w:widowControl/>
              <w:jc w:val="left"/>
              <w:rPr>
                <w:rFonts w:hint="eastAsia" w:ascii="宋体" w:hAnsi="宋体" w:eastAsia="宋体" w:cs="宋体"/>
                <w:color w:val="000000"/>
                <w:kern w:val="0"/>
                <w:sz w:val="24"/>
                <w:szCs w:val="24"/>
              </w:rPr>
            </w:pPr>
          </w:p>
        </w:tc>
        <w:tc>
          <w:tcPr>
            <w:tcW w:w="645" w:type="pct"/>
            <w:vMerge w:val="continue"/>
          </w:tcPr>
          <w:p w14:paraId="2033976A">
            <w:pPr>
              <w:widowControl/>
              <w:jc w:val="left"/>
              <w:rPr>
                <w:rFonts w:hint="eastAsia" w:ascii="宋体" w:hAnsi="宋体" w:eastAsia="宋体" w:cs="宋体"/>
                <w:color w:val="000000"/>
                <w:kern w:val="0"/>
                <w:sz w:val="24"/>
                <w:szCs w:val="24"/>
              </w:rPr>
            </w:pPr>
          </w:p>
        </w:tc>
      </w:tr>
      <w:tr w14:paraId="11EF6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300" w:type="pct"/>
            <w:vMerge w:val="continue"/>
          </w:tcPr>
          <w:p w14:paraId="4360B66F">
            <w:pPr>
              <w:widowControl/>
              <w:jc w:val="left"/>
              <w:rPr>
                <w:rFonts w:ascii="宋体" w:hAnsi="宋体" w:eastAsia="宋体" w:cs="宋体"/>
                <w:color w:val="000000"/>
                <w:kern w:val="0"/>
                <w:sz w:val="24"/>
                <w:szCs w:val="24"/>
              </w:rPr>
            </w:pPr>
          </w:p>
        </w:tc>
        <w:tc>
          <w:tcPr>
            <w:tcW w:w="512" w:type="pct"/>
            <w:vMerge w:val="continue"/>
          </w:tcPr>
          <w:p w14:paraId="4A8AA2A7">
            <w:pPr>
              <w:widowControl/>
              <w:jc w:val="left"/>
              <w:rPr>
                <w:rFonts w:ascii="宋体" w:hAnsi="宋体" w:eastAsia="宋体" w:cs="宋体"/>
                <w:color w:val="000000"/>
                <w:kern w:val="0"/>
                <w:sz w:val="24"/>
                <w:szCs w:val="24"/>
              </w:rPr>
            </w:pPr>
          </w:p>
        </w:tc>
        <w:tc>
          <w:tcPr>
            <w:tcW w:w="540" w:type="pct"/>
            <w:vMerge w:val="continue"/>
            <w:vAlign w:val="center"/>
          </w:tcPr>
          <w:p w14:paraId="239D49FF">
            <w:pPr>
              <w:widowControl/>
              <w:jc w:val="center"/>
              <w:rPr>
                <w:rFonts w:ascii="宋体" w:hAnsi="宋体" w:eastAsia="宋体" w:cs="宋体"/>
                <w:color w:val="000000"/>
                <w:kern w:val="0"/>
                <w:sz w:val="24"/>
                <w:szCs w:val="24"/>
              </w:rPr>
            </w:pPr>
          </w:p>
        </w:tc>
        <w:tc>
          <w:tcPr>
            <w:tcW w:w="2375" w:type="pct"/>
            <w:gridSpan w:val="3"/>
          </w:tcPr>
          <w:p w14:paraId="3F55D2D4">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可以根据实际业务定义收文流程、发文流程、以及收文处理表、发文审批表格式；</w:t>
            </w:r>
          </w:p>
        </w:tc>
        <w:tc>
          <w:tcPr>
            <w:tcW w:w="625" w:type="pct"/>
            <w:vMerge w:val="continue"/>
          </w:tcPr>
          <w:p w14:paraId="73CE1297">
            <w:pPr>
              <w:widowControl/>
              <w:jc w:val="left"/>
              <w:rPr>
                <w:rFonts w:hint="eastAsia" w:ascii="宋体" w:hAnsi="宋体" w:eastAsia="宋体" w:cs="宋体"/>
                <w:color w:val="000000"/>
                <w:kern w:val="0"/>
                <w:sz w:val="24"/>
                <w:szCs w:val="24"/>
              </w:rPr>
            </w:pPr>
          </w:p>
        </w:tc>
        <w:tc>
          <w:tcPr>
            <w:tcW w:w="645" w:type="pct"/>
            <w:vMerge w:val="continue"/>
          </w:tcPr>
          <w:p w14:paraId="288C1841">
            <w:pPr>
              <w:widowControl/>
              <w:jc w:val="left"/>
              <w:rPr>
                <w:rFonts w:hint="eastAsia" w:ascii="宋体" w:hAnsi="宋体" w:eastAsia="宋体" w:cs="宋体"/>
                <w:color w:val="000000"/>
                <w:kern w:val="0"/>
                <w:sz w:val="24"/>
                <w:szCs w:val="24"/>
              </w:rPr>
            </w:pPr>
          </w:p>
        </w:tc>
      </w:tr>
      <w:tr w14:paraId="3BE07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300" w:type="pct"/>
            <w:vMerge w:val="continue"/>
          </w:tcPr>
          <w:p w14:paraId="7B8B300B">
            <w:pPr>
              <w:widowControl/>
              <w:jc w:val="left"/>
              <w:rPr>
                <w:rFonts w:ascii="宋体" w:hAnsi="宋体" w:eastAsia="宋体" w:cs="宋体"/>
                <w:color w:val="000000"/>
                <w:kern w:val="0"/>
                <w:sz w:val="24"/>
                <w:szCs w:val="24"/>
              </w:rPr>
            </w:pPr>
          </w:p>
        </w:tc>
        <w:tc>
          <w:tcPr>
            <w:tcW w:w="512" w:type="pct"/>
            <w:vMerge w:val="continue"/>
          </w:tcPr>
          <w:p w14:paraId="596B91B1">
            <w:pPr>
              <w:widowControl/>
              <w:jc w:val="left"/>
              <w:rPr>
                <w:rFonts w:ascii="宋体" w:hAnsi="宋体" w:eastAsia="宋体" w:cs="宋体"/>
                <w:color w:val="000000"/>
                <w:kern w:val="0"/>
                <w:sz w:val="24"/>
                <w:szCs w:val="24"/>
              </w:rPr>
            </w:pPr>
          </w:p>
        </w:tc>
        <w:tc>
          <w:tcPr>
            <w:tcW w:w="540" w:type="pct"/>
            <w:vMerge w:val="continue"/>
            <w:vAlign w:val="center"/>
          </w:tcPr>
          <w:p w14:paraId="5A57A984">
            <w:pPr>
              <w:widowControl/>
              <w:jc w:val="center"/>
              <w:rPr>
                <w:rFonts w:ascii="宋体" w:hAnsi="宋体" w:eastAsia="宋体" w:cs="宋体"/>
                <w:color w:val="000000"/>
                <w:kern w:val="0"/>
                <w:sz w:val="24"/>
                <w:szCs w:val="24"/>
              </w:rPr>
            </w:pPr>
          </w:p>
        </w:tc>
        <w:tc>
          <w:tcPr>
            <w:tcW w:w="2375" w:type="pct"/>
            <w:gridSpan w:val="3"/>
          </w:tcPr>
          <w:p w14:paraId="4B1F5D74">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支持拟稿、核稿、会签、套红、签发全过程；</w:t>
            </w:r>
          </w:p>
        </w:tc>
        <w:tc>
          <w:tcPr>
            <w:tcW w:w="625" w:type="pct"/>
            <w:vMerge w:val="continue"/>
          </w:tcPr>
          <w:p w14:paraId="67B2C681">
            <w:pPr>
              <w:widowControl/>
              <w:jc w:val="left"/>
              <w:rPr>
                <w:rFonts w:hint="eastAsia" w:ascii="宋体" w:hAnsi="宋体" w:eastAsia="宋体" w:cs="宋体"/>
                <w:color w:val="000000"/>
                <w:kern w:val="0"/>
                <w:sz w:val="24"/>
                <w:szCs w:val="24"/>
              </w:rPr>
            </w:pPr>
          </w:p>
        </w:tc>
        <w:tc>
          <w:tcPr>
            <w:tcW w:w="645" w:type="pct"/>
            <w:vMerge w:val="continue"/>
          </w:tcPr>
          <w:p w14:paraId="5070428C">
            <w:pPr>
              <w:widowControl/>
              <w:jc w:val="left"/>
              <w:rPr>
                <w:rFonts w:hint="eastAsia" w:ascii="宋体" w:hAnsi="宋体" w:eastAsia="宋体" w:cs="宋体"/>
                <w:color w:val="000000"/>
                <w:kern w:val="0"/>
                <w:sz w:val="24"/>
                <w:szCs w:val="24"/>
              </w:rPr>
            </w:pPr>
          </w:p>
        </w:tc>
      </w:tr>
      <w:tr w14:paraId="154BA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300" w:type="pct"/>
            <w:vMerge w:val="continue"/>
          </w:tcPr>
          <w:p w14:paraId="3B7836DD">
            <w:pPr>
              <w:widowControl/>
              <w:jc w:val="left"/>
              <w:rPr>
                <w:rFonts w:ascii="宋体" w:hAnsi="宋体" w:eastAsia="宋体" w:cs="宋体"/>
                <w:color w:val="000000"/>
                <w:kern w:val="0"/>
                <w:sz w:val="24"/>
                <w:szCs w:val="24"/>
              </w:rPr>
            </w:pPr>
          </w:p>
        </w:tc>
        <w:tc>
          <w:tcPr>
            <w:tcW w:w="512" w:type="pct"/>
            <w:vMerge w:val="continue"/>
          </w:tcPr>
          <w:p w14:paraId="4A88081E">
            <w:pPr>
              <w:widowControl/>
              <w:jc w:val="left"/>
              <w:rPr>
                <w:rFonts w:ascii="宋体" w:hAnsi="宋体" w:eastAsia="宋体" w:cs="宋体"/>
                <w:color w:val="000000"/>
                <w:kern w:val="0"/>
                <w:sz w:val="24"/>
                <w:szCs w:val="24"/>
              </w:rPr>
            </w:pPr>
          </w:p>
        </w:tc>
        <w:tc>
          <w:tcPr>
            <w:tcW w:w="540" w:type="pct"/>
            <w:vMerge w:val="continue"/>
            <w:vAlign w:val="center"/>
          </w:tcPr>
          <w:p w14:paraId="79C8C1A1">
            <w:pPr>
              <w:widowControl/>
              <w:jc w:val="center"/>
              <w:rPr>
                <w:rFonts w:ascii="宋体" w:hAnsi="宋体" w:eastAsia="宋体" w:cs="宋体"/>
                <w:color w:val="000000"/>
                <w:kern w:val="0"/>
                <w:sz w:val="24"/>
                <w:szCs w:val="24"/>
              </w:rPr>
            </w:pPr>
          </w:p>
        </w:tc>
        <w:tc>
          <w:tcPr>
            <w:tcW w:w="2375" w:type="pct"/>
            <w:gridSpan w:val="3"/>
          </w:tcPr>
          <w:p w14:paraId="7055983B">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发文流程、收文流程完全图形化、可视化方式设计，流转过程图形化方式跟踪；</w:t>
            </w:r>
          </w:p>
        </w:tc>
        <w:tc>
          <w:tcPr>
            <w:tcW w:w="625" w:type="pct"/>
            <w:vMerge w:val="continue"/>
          </w:tcPr>
          <w:p w14:paraId="6427F77B">
            <w:pPr>
              <w:widowControl/>
              <w:jc w:val="left"/>
              <w:rPr>
                <w:rFonts w:hint="eastAsia" w:ascii="宋体" w:hAnsi="宋体" w:eastAsia="宋体" w:cs="宋体"/>
                <w:color w:val="000000"/>
                <w:kern w:val="0"/>
                <w:sz w:val="24"/>
                <w:szCs w:val="24"/>
              </w:rPr>
            </w:pPr>
          </w:p>
        </w:tc>
        <w:tc>
          <w:tcPr>
            <w:tcW w:w="645" w:type="pct"/>
            <w:vMerge w:val="continue"/>
          </w:tcPr>
          <w:p w14:paraId="755E0C41">
            <w:pPr>
              <w:widowControl/>
              <w:jc w:val="left"/>
              <w:rPr>
                <w:rFonts w:hint="eastAsia" w:ascii="宋体" w:hAnsi="宋体" w:eastAsia="宋体" w:cs="宋体"/>
                <w:color w:val="000000"/>
                <w:kern w:val="0"/>
                <w:sz w:val="24"/>
                <w:szCs w:val="24"/>
              </w:rPr>
            </w:pPr>
          </w:p>
        </w:tc>
      </w:tr>
      <w:tr w14:paraId="7B3F3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300" w:type="pct"/>
            <w:vMerge w:val="continue"/>
          </w:tcPr>
          <w:p w14:paraId="73E71BE6">
            <w:pPr>
              <w:widowControl/>
              <w:jc w:val="left"/>
              <w:rPr>
                <w:rFonts w:ascii="宋体" w:hAnsi="宋体" w:eastAsia="宋体" w:cs="宋体"/>
                <w:color w:val="000000"/>
                <w:kern w:val="0"/>
                <w:sz w:val="24"/>
                <w:szCs w:val="24"/>
              </w:rPr>
            </w:pPr>
          </w:p>
        </w:tc>
        <w:tc>
          <w:tcPr>
            <w:tcW w:w="512" w:type="pct"/>
            <w:vMerge w:val="continue"/>
          </w:tcPr>
          <w:p w14:paraId="2B43A42F">
            <w:pPr>
              <w:widowControl/>
              <w:jc w:val="left"/>
              <w:rPr>
                <w:rFonts w:ascii="宋体" w:hAnsi="宋体" w:eastAsia="宋体" w:cs="宋体"/>
                <w:color w:val="000000"/>
                <w:kern w:val="0"/>
                <w:sz w:val="24"/>
                <w:szCs w:val="24"/>
              </w:rPr>
            </w:pPr>
          </w:p>
        </w:tc>
        <w:tc>
          <w:tcPr>
            <w:tcW w:w="540" w:type="pct"/>
            <w:vAlign w:val="center"/>
          </w:tcPr>
          <w:p w14:paraId="1AF6E65A">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会议管理</w:t>
            </w:r>
          </w:p>
        </w:tc>
        <w:tc>
          <w:tcPr>
            <w:tcW w:w="2375" w:type="pct"/>
            <w:gridSpan w:val="3"/>
          </w:tcPr>
          <w:p w14:paraId="40F0B3F6">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支持会议室管理、会议申请、审批、发会议通知、写会议纪要，支持会议冲突检测，支持扫码签到。</w:t>
            </w:r>
          </w:p>
        </w:tc>
        <w:tc>
          <w:tcPr>
            <w:tcW w:w="625" w:type="pct"/>
            <w:vMerge w:val="continue"/>
          </w:tcPr>
          <w:p w14:paraId="2CBB92CE">
            <w:pPr>
              <w:widowControl/>
              <w:jc w:val="left"/>
              <w:rPr>
                <w:rFonts w:hint="eastAsia" w:ascii="宋体" w:hAnsi="宋体" w:eastAsia="宋体" w:cs="宋体"/>
                <w:color w:val="000000"/>
                <w:kern w:val="0"/>
                <w:sz w:val="24"/>
                <w:szCs w:val="24"/>
              </w:rPr>
            </w:pPr>
          </w:p>
        </w:tc>
        <w:tc>
          <w:tcPr>
            <w:tcW w:w="645" w:type="pct"/>
            <w:vMerge w:val="continue"/>
          </w:tcPr>
          <w:p w14:paraId="099DCEAC">
            <w:pPr>
              <w:widowControl/>
              <w:jc w:val="left"/>
              <w:rPr>
                <w:rFonts w:hint="eastAsia" w:ascii="宋体" w:hAnsi="宋体" w:eastAsia="宋体" w:cs="宋体"/>
                <w:color w:val="000000"/>
                <w:kern w:val="0"/>
                <w:sz w:val="24"/>
                <w:szCs w:val="24"/>
              </w:rPr>
            </w:pPr>
          </w:p>
        </w:tc>
      </w:tr>
      <w:tr w14:paraId="2464F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300" w:type="pct"/>
            <w:vMerge w:val="continue"/>
          </w:tcPr>
          <w:p w14:paraId="571E3476">
            <w:pPr>
              <w:widowControl/>
              <w:jc w:val="left"/>
              <w:rPr>
                <w:rFonts w:ascii="宋体" w:hAnsi="宋体" w:eastAsia="宋体" w:cs="宋体"/>
                <w:color w:val="000000"/>
                <w:kern w:val="0"/>
                <w:sz w:val="24"/>
                <w:szCs w:val="24"/>
              </w:rPr>
            </w:pPr>
          </w:p>
        </w:tc>
        <w:tc>
          <w:tcPr>
            <w:tcW w:w="512" w:type="pct"/>
            <w:vMerge w:val="continue"/>
          </w:tcPr>
          <w:p w14:paraId="60066B72">
            <w:pPr>
              <w:widowControl/>
              <w:jc w:val="left"/>
              <w:rPr>
                <w:rFonts w:ascii="宋体" w:hAnsi="宋体" w:eastAsia="宋体" w:cs="宋体"/>
                <w:color w:val="000000"/>
                <w:kern w:val="0"/>
                <w:sz w:val="24"/>
                <w:szCs w:val="24"/>
              </w:rPr>
            </w:pPr>
          </w:p>
        </w:tc>
        <w:tc>
          <w:tcPr>
            <w:tcW w:w="540" w:type="pct"/>
            <w:vMerge w:val="restart"/>
            <w:vAlign w:val="center"/>
          </w:tcPr>
          <w:p w14:paraId="5E0744D4">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会议议题</w:t>
            </w:r>
          </w:p>
        </w:tc>
        <w:tc>
          <w:tcPr>
            <w:tcW w:w="2375" w:type="pct"/>
            <w:gridSpan w:val="3"/>
          </w:tcPr>
          <w:p w14:paraId="57A4408F">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各科室在线提交会议议题，审核通过后关联到会议；</w:t>
            </w:r>
          </w:p>
        </w:tc>
        <w:tc>
          <w:tcPr>
            <w:tcW w:w="625" w:type="pct"/>
            <w:vMerge w:val="continue"/>
          </w:tcPr>
          <w:p w14:paraId="57B38363">
            <w:pPr>
              <w:widowControl/>
              <w:jc w:val="left"/>
              <w:rPr>
                <w:rFonts w:hint="eastAsia" w:ascii="宋体" w:hAnsi="宋体" w:eastAsia="宋体" w:cs="宋体"/>
                <w:color w:val="000000"/>
                <w:kern w:val="0"/>
                <w:sz w:val="24"/>
                <w:szCs w:val="24"/>
              </w:rPr>
            </w:pPr>
          </w:p>
        </w:tc>
        <w:tc>
          <w:tcPr>
            <w:tcW w:w="645" w:type="pct"/>
            <w:vMerge w:val="continue"/>
          </w:tcPr>
          <w:p w14:paraId="4B58678C">
            <w:pPr>
              <w:widowControl/>
              <w:jc w:val="left"/>
              <w:rPr>
                <w:rFonts w:hint="eastAsia" w:ascii="宋体" w:hAnsi="宋体" w:eastAsia="宋体" w:cs="宋体"/>
                <w:color w:val="000000"/>
                <w:kern w:val="0"/>
                <w:sz w:val="24"/>
                <w:szCs w:val="24"/>
              </w:rPr>
            </w:pPr>
          </w:p>
        </w:tc>
      </w:tr>
      <w:tr w14:paraId="2F2FB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300" w:type="pct"/>
            <w:vMerge w:val="continue"/>
          </w:tcPr>
          <w:p w14:paraId="3367F17F">
            <w:pPr>
              <w:widowControl/>
              <w:jc w:val="left"/>
              <w:rPr>
                <w:rFonts w:ascii="宋体" w:hAnsi="宋体" w:eastAsia="宋体" w:cs="宋体"/>
                <w:color w:val="000000"/>
                <w:kern w:val="0"/>
                <w:sz w:val="24"/>
                <w:szCs w:val="24"/>
              </w:rPr>
            </w:pPr>
          </w:p>
        </w:tc>
        <w:tc>
          <w:tcPr>
            <w:tcW w:w="512" w:type="pct"/>
            <w:vMerge w:val="continue"/>
          </w:tcPr>
          <w:p w14:paraId="5EFE0259">
            <w:pPr>
              <w:widowControl/>
              <w:jc w:val="left"/>
              <w:rPr>
                <w:rFonts w:ascii="宋体" w:hAnsi="宋体" w:eastAsia="宋体" w:cs="宋体"/>
                <w:color w:val="000000"/>
                <w:kern w:val="0"/>
                <w:sz w:val="24"/>
                <w:szCs w:val="24"/>
              </w:rPr>
            </w:pPr>
          </w:p>
        </w:tc>
        <w:tc>
          <w:tcPr>
            <w:tcW w:w="540" w:type="pct"/>
            <w:vMerge w:val="continue"/>
            <w:vAlign w:val="center"/>
          </w:tcPr>
          <w:p w14:paraId="7A0332C2">
            <w:pPr>
              <w:widowControl/>
              <w:jc w:val="center"/>
              <w:rPr>
                <w:rFonts w:ascii="宋体" w:hAnsi="宋体" w:eastAsia="宋体" w:cs="宋体"/>
                <w:color w:val="000000"/>
                <w:kern w:val="0"/>
                <w:sz w:val="24"/>
                <w:szCs w:val="24"/>
              </w:rPr>
            </w:pPr>
          </w:p>
        </w:tc>
        <w:tc>
          <w:tcPr>
            <w:tcW w:w="2375" w:type="pct"/>
            <w:gridSpan w:val="3"/>
          </w:tcPr>
          <w:p w14:paraId="0E3B9037">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参会领导可提前阅读每次会议所要讨论的议题，做好发言准备；</w:t>
            </w:r>
          </w:p>
        </w:tc>
        <w:tc>
          <w:tcPr>
            <w:tcW w:w="625" w:type="pct"/>
            <w:vMerge w:val="continue"/>
          </w:tcPr>
          <w:p w14:paraId="3844CA5E">
            <w:pPr>
              <w:widowControl/>
              <w:jc w:val="left"/>
              <w:rPr>
                <w:rFonts w:hint="eastAsia" w:ascii="宋体" w:hAnsi="宋体" w:eastAsia="宋体" w:cs="宋体"/>
                <w:color w:val="000000"/>
                <w:kern w:val="0"/>
                <w:sz w:val="24"/>
                <w:szCs w:val="24"/>
              </w:rPr>
            </w:pPr>
          </w:p>
        </w:tc>
        <w:tc>
          <w:tcPr>
            <w:tcW w:w="645" w:type="pct"/>
            <w:vMerge w:val="continue"/>
          </w:tcPr>
          <w:p w14:paraId="73534F31">
            <w:pPr>
              <w:widowControl/>
              <w:jc w:val="left"/>
              <w:rPr>
                <w:rFonts w:hint="eastAsia" w:ascii="宋体" w:hAnsi="宋体" w:eastAsia="宋体" w:cs="宋体"/>
                <w:color w:val="000000"/>
                <w:kern w:val="0"/>
                <w:sz w:val="24"/>
                <w:szCs w:val="24"/>
              </w:rPr>
            </w:pPr>
          </w:p>
        </w:tc>
      </w:tr>
      <w:tr w14:paraId="731E1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300" w:type="pct"/>
            <w:vMerge w:val="continue"/>
          </w:tcPr>
          <w:p w14:paraId="6CF8FEF1">
            <w:pPr>
              <w:widowControl/>
              <w:jc w:val="left"/>
              <w:rPr>
                <w:rFonts w:ascii="宋体" w:hAnsi="宋体" w:eastAsia="宋体" w:cs="宋体"/>
                <w:color w:val="000000"/>
                <w:kern w:val="0"/>
                <w:sz w:val="24"/>
                <w:szCs w:val="24"/>
              </w:rPr>
            </w:pPr>
          </w:p>
        </w:tc>
        <w:tc>
          <w:tcPr>
            <w:tcW w:w="512" w:type="pct"/>
            <w:vMerge w:val="continue"/>
          </w:tcPr>
          <w:p w14:paraId="728BF40E">
            <w:pPr>
              <w:widowControl/>
              <w:jc w:val="left"/>
              <w:rPr>
                <w:rFonts w:ascii="宋体" w:hAnsi="宋体" w:eastAsia="宋体" w:cs="宋体"/>
                <w:color w:val="000000"/>
                <w:kern w:val="0"/>
                <w:sz w:val="24"/>
                <w:szCs w:val="24"/>
              </w:rPr>
            </w:pPr>
          </w:p>
        </w:tc>
        <w:tc>
          <w:tcPr>
            <w:tcW w:w="540" w:type="pct"/>
            <w:vMerge w:val="continue"/>
            <w:vAlign w:val="center"/>
          </w:tcPr>
          <w:p w14:paraId="66450BC5">
            <w:pPr>
              <w:widowControl/>
              <w:jc w:val="center"/>
              <w:rPr>
                <w:rFonts w:ascii="宋体" w:hAnsi="宋体" w:eastAsia="宋体" w:cs="宋体"/>
                <w:color w:val="000000"/>
                <w:kern w:val="0"/>
                <w:sz w:val="24"/>
                <w:szCs w:val="24"/>
              </w:rPr>
            </w:pPr>
          </w:p>
        </w:tc>
        <w:tc>
          <w:tcPr>
            <w:tcW w:w="2375" w:type="pct"/>
            <w:gridSpan w:val="3"/>
          </w:tcPr>
          <w:p w14:paraId="212D193E">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各部门可查阅自己的议题是否将在例会上讨论。</w:t>
            </w:r>
          </w:p>
        </w:tc>
        <w:tc>
          <w:tcPr>
            <w:tcW w:w="625" w:type="pct"/>
            <w:vMerge w:val="continue"/>
          </w:tcPr>
          <w:p w14:paraId="48B6F9DB">
            <w:pPr>
              <w:widowControl/>
              <w:jc w:val="left"/>
              <w:rPr>
                <w:rFonts w:hint="eastAsia" w:ascii="宋体" w:hAnsi="宋体" w:eastAsia="宋体" w:cs="宋体"/>
                <w:color w:val="000000"/>
                <w:kern w:val="0"/>
                <w:sz w:val="24"/>
                <w:szCs w:val="24"/>
              </w:rPr>
            </w:pPr>
          </w:p>
        </w:tc>
        <w:tc>
          <w:tcPr>
            <w:tcW w:w="645" w:type="pct"/>
            <w:vMerge w:val="continue"/>
          </w:tcPr>
          <w:p w14:paraId="1782D0C7">
            <w:pPr>
              <w:widowControl/>
              <w:jc w:val="left"/>
              <w:rPr>
                <w:rFonts w:hint="eastAsia" w:ascii="宋体" w:hAnsi="宋体" w:eastAsia="宋体" w:cs="宋体"/>
                <w:color w:val="000000"/>
                <w:kern w:val="0"/>
                <w:sz w:val="24"/>
                <w:szCs w:val="24"/>
              </w:rPr>
            </w:pPr>
          </w:p>
        </w:tc>
      </w:tr>
      <w:tr w14:paraId="6BC67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300" w:type="pct"/>
            <w:vMerge w:val="continue"/>
          </w:tcPr>
          <w:p w14:paraId="7492B428">
            <w:pPr>
              <w:widowControl/>
              <w:jc w:val="left"/>
              <w:rPr>
                <w:rFonts w:ascii="宋体" w:hAnsi="宋体" w:eastAsia="宋体" w:cs="宋体"/>
                <w:color w:val="000000"/>
                <w:kern w:val="0"/>
                <w:sz w:val="24"/>
                <w:szCs w:val="24"/>
              </w:rPr>
            </w:pPr>
          </w:p>
        </w:tc>
        <w:tc>
          <w:tcPr>
            <w:tcW w:w="512" w:type="pct"/>
            <w:vMerge w:val="continue"/>
          </w:tcPr>
          <w:p w14:paraId="3367CE8B">
            <w:pPr>
              <w:widowControl/>
              <w:jc w:val="left"/>
              <w:rPr>
                <w:rFonts w:ascii="宋体" w:hAnsi="宋体" w:eastAsia="宋体" w:cs="宋体"/>
                <w:color w:val="000000"/>
                <w:kern w:val="0"/>
                <w:sz w:val="24"/>
                <w:szCs w:val="24"/>
              </w:rPr>
            </w:pPr>
          </w:p>
        </w:tc>
        <w:tc>
          <w:tcPr>
            <w:tcW w:w="540" w:type="pct"/>
            <w:vAlign w:val="center"/>
          </w:tcPr>
          <w:p w14:paraId="1E859925">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文档管理</w:t>
            </w:r>
          </w:p>
        </w:tc>
        <w:tc>
          <w:tcPr>
            <w:tcW w:w="2375" w:type="pct"/>
            <w:gridSpan w:val="3"/>
          </w:tcPr>
          <w:p w14:paraId="0AC53B5F">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为每个科室建立一个或多个文件夹，科室可自行上传各种文档，可实现权限控制。</w:t>
            </w:r>
          </w:p>
        </w:tc>
        <w:tc>
          <w:tcPr>
            <w:tcW w:w="625" w:type="pct"/>
            <w:vMerge w:val="continue"/>
          </w:tcPr>
          <w:p w14:paraId="38A3DB92">
            <w:pPr>
              <w:widowControl/>
              <w:jc w:val="left"/>
              <w:rPr>
                <w:rFonts w:hint="eastAsia" w:ascii="宋体" w:hAnsi="宋体" w:eastAsia="宋体" w:cs="宋体"/>
                <w:color w:val="000000"/>
                <w:kern w:val="0"/>
                <w:sz w:val="24"/>
                <w:szCs w:val="24"/>
              </w:rPr>
            </w:pPr>
          </w:p>
        </w:tc>
        <w:tc>
          <w:tcPr>
            <w:tcW w:w="645" w:type="pct"/>
            <w:vMerge w:val="continue"/>
          </w:tcPr>
          <w:p w14:paraId="632B7609">
            <w:pPr>
              <w:widowControl/>
              <w:jc w:val="left"/>
              <w:rPr>
                <w:rFonts w:hint="eastAsia" w:ascii="宋体" w:hAnsi="宋体" w:eastAsia="宋体" w:cs="宋体"/>
                <w:color w:val="000000"/>
                <w:kern w:val="0"/>
                <w:sz w:val="24"/>
                <w:szCs w:val="24"/>
              </w:rPr>
            </w:pPr>
          </w:p>
        </w:tc>
      </w:tr>
      <w:tr w14:paraId="6E18C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300" w:type="pct"/>
            <w:vMerge w:val="continue"/>
          </w:tcPr>
          <w:p w14:paraId="383A844F">
            <w:pPr>
              <w:widowControl/>
              <w:jc w:val="left"/>
              <w:rPr>
                <w:rFonts w:ascii="宋体" w:hAnsi="宋体" w:eastAsia="宋体" w:cs="宋体"/>
                <w:color w:val="000000"/>
                <w:kern w:val="0"/>
                <w:sz w:val="24"/>
                <w:szCs w:val="24"/>
              </w:rPr>
            </w:pPr>
          </w:p>
        </w:tc>
        <w:tc>
          <w:tcPr>
            <w:tcW w:w="512" w:type="pct"/>
            <w:vMerge w:val="continue"/>
          </w:tcPr>
          <w:p w14:paraId="3ECE4A5F">
            <w:pPr>
              <w:widowControl/>
              <w:jc w:val="left"/>
              <w:rPr>
                <w:rFonts w:ascii="宋体" w:hAnsi="宋体" w:eastAsia="宋体" w:cs="宋体"/>
                <w:color w:val="000000"/>
                <w:kern w:val="0"/>
                <w:sz w:val="24"/>
                <w:szCs w:val="24"/>
              </w:rPr>
            </w:pPr>
          </w:p>
        </w:tc>
        <w:tc>
          <w:tcPr>
            <w:tcW w:w="540" w:type="pct"/>
            <w:vAlign w:val="center"/>
          </w:tcPr>
          <w:p w14:paraId="44FC8467">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日程管理</w:t>
            </w:r>
          </w:p>
        </w:tc>
        <w:tc>
          <w:tcPr>
            <w:tcW w:w="2375" w:type="pct"/>
            <w:gridSpan w:val="3"/>
          </w:tcPr>
          <w:p w14:paraId="3CDDA856">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建立个人日程，可查看部门内员工的日程，可在日程内预约他人</w:t>
            </w:r>
          </w:p>
        </w:tc>
        <w:tc>
          <w:tcPr>
            <w:tcW w:w="625" w:type="pct"/>
            <w:vMerge w:val="continue"/>
          </w:tcPr>
          <w:p w14:paraId="5A14E661">
            <w:pPr>
              <w:widowControl/>
              <w:jc w:val="left"/>
              <w:rPr>
                <w:rFonts w:hint="eastAsia" w:ascii="宋体" w:hAnsi="宋体" w:eastAsia="宋体" w:cs="宋体"/>
                <w:color w:val="000000"/>
                <w:kern w:val="0"/>
                <w:sz w:val="24"/>
                <w:szCs w:val="24"/>
              </w:rPr>
            </w:pPr>
          </w:p>
        </w:tc>
        <w:tc>
          <w:tcPr>
            <w:tcW w:w="645" w:type="pct"/>
            <w:vMerge w:val="continue"/>
          </w:tcPr>
          <w:p w14:paraId="6FBE15A2">
            <w:pPr>
              <w:widowControl/>
              <w:jc w:val="left"/>
              <w:rPr>
                <w:rFonts w:hint="eastAsia" w:ascii="宋体" w:hAnsi="宋体" w:eastAsia="宋体" w:cs="宋体"/>
                <w:color w:val="000000"/>
                <w:kern w:val="0"/>
                <w:sz w:val="24"/>
                <w:szCs w:val="24"/>
              </w:rPr>
            </w:pPr>
          </w:p>
        </w:tc>
      </w:tr>
      <w:tr w14:paraId="4E487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300" w:type="pct"/>
            <w:vMerge w:val="continue"/>
          </w:tcPr>
          <w:p w14:paraId="0F0D096B">
            <w:pPr>
              <w:widowControl/>
              <w:jc w:val="left"/>
              <w:rPr>
                <w:rFonts w:ascii="宋体" w:hAnsi="宋体" w:eastAsia="宋体" w:cs="宋体"/>
                <w:color w:val="000000"/>
                <w:kern w:val="0"/>
                <w:sz w:val="24"/>
                <w:szCs w:val="24"/>
              </w:rPr>
            </w:pPr>
          </w:p>
        </w:tc>
        <w:tc>
          <w:tcPr>
            <w:tcW w:w="512" w:type="pct"/>
            <w:vMerge w:val="continue"/>
          </w:tcPr>
          <w:p w14:paraId="50273872">
            <w:pPr>
              <w:widowControl/>
              <w:jc w:val="left"/>
              <w:rPr>
                <w:rFonts w:ascii="宋体" w:hAnsi="宋体" w:eastAsia="宋体" w:cs="宋体"/>
                <w:color w:val="000000"/>
                <w:kern w:val="0"/>
                <w:sz w:val="24"/>
                <w:szCs w:val="24"/>
              </w:rPr>
            </w:pPr>
          </w:p>
        </w:tc>
        <w:tc>
          <w:tcPr>
            <w:tcW w:w="540" w:type="pct"/>
            <w:vAlign w:val="center"/>
          </w:tcPr>
          <w:p w14:paraId="6DF139F3">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任务管理</w:t>
            </w:r>
          </w:p>
        </w:tc>
        <w:tc>
          <w:tcPr>
            <w:tcW w:w="2375" w:type="pct"/>
            <w:gridSpan w:val="3"/>
          </w:tcPr>
          <w:p w14:paraId="424B1639">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发布一项或多项任务，承办人及时反馈进度，直观监控任务完成情况</w:t>
            </w:r>
          </w:p>
        </w:tc>
        <w:tc>
          <w:tcPr>
            <w:tcW w:w="625" w:type="pct"/>
            <w:vMerge w:val="continue"/>
          </w:tcPr>
          <w:p w14:paraId="2CBC45E8">
            <w:pPr>
              <w:widowControl/>
              <w:jc w:val="left"/>
              <w:rPr>
                <w:rFonts w:hint="eastAsia" w:ascii="宋体" w:hAnsi="宋体" w:eastAsia="宋体" w:cs="宋体"/>
                <w:color w:val="000000"/>
                <w:kern w:val="0"/>
                <w:sz w:val="24"/>
                <w:szCs w:val="24"/>
              </w:rPr>
            </w:pPr>
          </w:p>
        </w:tc>
        <w:tc>
          <w:tcPr>
            <w:tcW w:w="645" w:type="pct"/>
            <w:vMerge w:val="continue"/>
          </w:tcPr>
          <w:p w14:paraId="56FE8D50">
            <w:pPr>
              <w:widowControl/>
              <w:jc w:val="left"/>
              <w:rPr>
                <w:rFonts w:hint="eastAsia" w:ascii="宋体" w:hAnsi="宋体" w:eastAsia="宋体" w:cs="宋体"/>
                <w:color w:val="000000"/>
                <w:kern w:val="0"/>
                <w:sz w:val="24"/>
                <w:szCs w:val="24"/>
              </w:rPr>
            </w:pPr>
          </w:p>
        </w:tc>
      </w:tr>
      <w:tr w14:paraId="10621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300" w:type="pct"/>
            <w:vMerge w:val="continue"/>
          </w:tcPr>
          <w:p w14:paraId="742A9A65">
            <w:pPr>
              <w:widowControl/>
              <w:jc w:val="left"/>
              <w:rPr>
                <w:rFonts w:ascii="宋体" w:hAnsi="宋体" w:eastAsia="宋体" w:cs="宋体"/>
                <w:color w:val="000000"/>
                <w:kern w:val="0"/>
                <w:sz w:val="24"/>
                <w:szCs w:val="24"/>
              </w:rPr>
            </w:pPr>
          </w:p>
        </w:tc>
        <w:tc>
          <w:tcPr>
            <w:tcW w:w="512" w:type="pct"/>
            <w:vMerge w:val="continue"/>
          </w:tcPr>
          <w:p w14:paraId="76A54FE9">
            <w:pPr>
              <w:widowControl/>
              <w:jc w:val="left"/>
              <w:rPr>
                <w:rFonts w:ascii="宋体" w:hAnsi="宋体" w:eastAsia="宋体" w:cs="宋体"/>
                <w:color w:val="000000"/>
                <w:kern w:val="0"/>
                <w:sz w:val="24"/>
                <w:szCs w:val="24"/>
              </w:rPr>
            </w:pPr>
          </w:p>
        </w:tc>
        <w:tc>
          <w:tcPr>
            <w:tcW w:w="540" w:type="pct"/>
            <w:vAlign w:val="center"/>
          </w:tcPr>
          <w:p w14:paraId="367BBB0E">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手机短信</w:t>
            </w:r>
          </w:p>
        </w:tc>
        <w:tc>
          <w:tcPr>
            <w:tcW w:w="2375" w:type="pct"/>
            <w:gridSpan w:val="3"/>
          </w:tcPr>
          <w:p w14:paraId="4182C5E4">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对接医院选定的短信平台，实现短信收、发，可通过短信发送系统各种提醒</w:t>
            </w:r>
          </w:p>
        </w:tc>
        <w:tc>
          <w:tcPr>
            <w:tcW w:w="625" w:type="pct"/>
            <w:vMerge w:val="continue"/>
          </w:tcPr>
          <w:p w14:paraId="3A45D7C3">
            <w:pPr>
              <w:widowControl/>
              <w:jc w:val="left"/>
              <w:rPr>
                <w:rFonts w:hint="eastAsia" w:ascii="宋体" w:hAnsi="宋体" w:eastAsia="宋体" w:cs="宋体"/>
                <w:color w:val="000000"/>
                <w:kern w:val="0"/>
                <w:sz w:val="24"/>
                <w:szCs w:val="24"/>
              </w:rPr>
            </w:pPr>
          </w:p>
        </w:tc>
        <w:tc>
          <w:tcPr>
            <w:tcW w:w="645" w:type="pct"/>
            <w:vMerge w:val="continue"/>
          </w:tcPr>
          <w:p w14:paraId="71747B4B">
            <w:pPr>
              <w:widowControl/>
              <w:jc w:val="left"/>
              <w:rPr>
                <w:rFonts w:hint="eastAsia" w:ascii="宋体" w:hAnsi="宋体" w:eastAsia="宋体" w:cs="宋体"/>
                <w:color w:val="000000"/>
                <w:kern w:val="0"/>
                <w:sz w:val="24"/>
                <w:szCs w:val="24"/>
              </w:rPr>
            </w:pPr>
          </w:p>
        </w:tc>
      </w:tr>
      <w:tr w14:paraId="617F1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300" w:type="pct"/>
            <w:vMerge w:val="continue"/>
          </w:tcPr>
          <w:p w14:paraId="499C204F">
            <w:pPr>
              <w:widowControl/>
              <w:jc w:val="left"/>
              <w:rPr>
                <w:rFonts w:ascii="宋体" w:hAnsi="宋体" w:eastAsia="宋体" w:cs="宋体"/>
                <w:color w:val="000000"/>
                <w:kern w:val="0"/>
                <w:sz w:val="24"/>
                <w:szCs w:val="24"/>
              </w:rPr>
            </w:pPr>
          </w:p>
        </w:tc>
        <w:tc>
          <w:tcPr>
            <w:tcW w:w="512" w:type="pct"/>
            <w:vMerge w:val="continue"/>
          </w:tcPr>
          <w:p w14:paraId="160886CF">
            <w:pPr>
              <w:widowControl/>
              <w:jc w:val="left"/>
              <w:rPr>
                <w:rFonts w:ascii="宋体" w:hAnsi="宋体" w:eastAsia="宋体" w:cs="宋体"/>
                <w:color w:val="000000"/>
                <w:kern w:val="0"/>
                <w:sz w:val="24"/>
                <w:szCs w:val="24"/>
              </w:rPr>
            </w:pPr>
          </w:p>
        </w:tc>
        <w:tc>
          <w:tcPr>
            <w:tcW w:w="540" w:type="pct"/>
            <w:vAlign w:val="center"/>
          </w:tcPr>
          <w:p w14:paraId="621E3886">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活动预约</w:t>
            </w:r>
          </w:p>
        </w:tc>
        <w:tc>
          <w:tcPr>
            <w:tcW w:w="2375" w:type="pct"/>
            <w:gridSpan w:val="3"/>
          </w:tcPr>
          <w:p w14:paraId="7473DD1D">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实现诸如护理实训基地预约、各种活动报名占位等，可发布各种活动，在活动的开放时段内，员工可预约占位，可监控预约情况</w:t>
            </w:r>
          </w:p>
        </w:tc>
        <w:tc>
          <w:tcPr>
            <w:tcW w:w="625" w:type="pct"/>
            <w:vMerge w:val="continue"/>
          </w:tcPr>
          <w:p w14:paraId="3AE5F752">
            <w:pPr>
              <w:widowControl/>
              <w:jc w:val="left"/>
              <w:rPr>
                <w:rFonts w:hint="eastAsia" w:ascii="宋体" w:hAnsi="宋体" w:eastAsia="宋体" w:cs="宋体"/>
                <w:color w:val="000000"/>
                <w:kern w:val="0"/>
                <w:sz w:val="24"/>
                <w:szCs w:val="24"/>
              </w:rPr>
            </w:pPr>
          </w:p>
        </w:tc>
        <w:tc>
          <w:tcPr>
            <w:tcW w:w="645" w:type="pct"/>
            <w:vMerge w:val="continue"/>
          </w:tcPr>
          <w:p w14:paraId="3EC73578">
            <w:pPr>
              <w:widowControl/>
              <w:jc w:val="left"/>
              <w:rPr>
                <w:rFonts w:hint="eastAsia" w:ascii="宋体" w:hAnsi="宋体" w:eastAsia="宋体" w:cs="宋体"/>
                <w:color w:val="000000"/>
                <w:kern w:val="0"/>
                <w:sz w:val="24"/>
                <w:szCs w:val="24"/>
              </w:rPr>
            </w:pPr>
          </w:p>
        </w:tc>
      </w:tr>
      <w:tr w14:paraId="5FC12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300" w:type="pct"/>
            <w:vMerge w:val="continue"/>
          </w:tcPr>
          <w:p w14:paraId="34696364">
            <w:pPr>
              <w:widowControl/>
              <w:jc w:val="left"/>
              <w:rPr>
                <w:rFonts w:ascii="宋体" w:hAnsi="宋体" w:eastAsia="宋体" w:cs="宋体"/>
                <w:color w:val="000000"/>
                <w:kern w:val="0"/>
                <w:sz w:val="24"/>
                <w:szCs w:val="24"/>
              </w:rPr>
            </w:pPr>
          </w:p>
        </w:tc>
        <w:tc>
          <w:tcPr>
            <w:tcW w:w="512" w:type="pct"/>
            <w:vMerge w:val="continue"/>
          </w:tcPr>
          <w:p w14:paraId="5AC8E82F">
            <w:pPr>
              <w:widowControl/>
              <w:jc w:val="left"/>
              <w:rPr>
                <w:rFonts w:ascii="宋体" w:hAnsi="宋体" w:eastAsia="宋体" w:cs="宋体"/>
                <w:color w:val="000000"/>
                <w:kern w:val="0"/>
                <w:sz w:val="24"/>
                <w:szCs w:val="24"/>
              </w:rPr>
            </w:pPr>
          </w:p>
        </w:tc>
        <w:tc>
          <w:tcPr>
            <w:tcW w:w="540" w:type="pct"/>
            <w:vAlign w:val="center"/>
          </w:tcPr>
          <w:p w14:paraId="3151F004">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调查投票</w:t>
            </w:r>
          </w:p>
        </w:tc>
        <w:tc>
          <w:tcPr>
            <w:tcW w:w="2375" w:type="pct"/>
            <w:gridSpan w:val="3"/>
          </w:tcPr>
          <w:p w14:paraId="245DE6BC">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发起问卷调查，员工在线填写，后台统计调查结果</w:t>
            </w:r>
          </w:p>
        </w:tc>
        <w:tc>
          <w:tcPr>
            <w:tcW w:w="625" w:type="pct"/>
            <w:vMerge w:val="continue"/>
          </w:tcPr>
          <w:p w14:paraId="7FCFC504">
            <w:pPr>
              <w:widowControl/>
              <w:jc w:val="left"/>
              <w:rPr>
                <w:rFonts w:hint="eastAsia" w:ascii="宋体" w:hAnsi="宋体" w:eastAsia="宋体" w:cs="宋体"/>
                <w:color w:val="000000"/>
                <w:kern w:val="0"/>
                <w:sz w:val="24"/>
                <w:szCs w:val="24"/>
              </w:rPr>
            </w:pPr>
          </w:p>
        </w:tc>
        <w:tc>
          <w:tcPr>
            <w:tcW w:w="645" w:type="pct"/>
            <w:vMerge w:val="continue"/>
          </w:tcPr>
          <w:p w14:paraId="2DD6152C">
            <w:pPr>
              <w:widowControl/>
              <w:jc w:val="left"/>
              <w:rPr>
                <w:rFonts w:hint="eastAsia" w:ascii="宋体" w:hAnsi="宋体" w:eastAsia="宋体" w:cs="宋体"/>
                <w:color w:val="000000"/>
                <w:kern w:val="0"/>
                <w:sz w:val="24"/>
                <w:szCs w:val="24"/>
              </w:rPr>
            </w:pPr>
          </w:p>
        </w:tc>
      </w:tr>
      <w:tr w14:paraId="38767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300" w:type="pct"/>
            <w:vMerge w:val="continue"/>
          </w:tcPr>
          <w:p w14:paraId="6E5830DD">
            <w:pPr>
              <w:widowControl/>
              <w:jc w:val="left"/>
              <w:rPr>
                <w:rFonts w:ascii="宋体" w:hAnsi="宋体" w:eastAsia="宋体" w:cs="宋体"/>
                <w:color w:val="000000"/>
                <w:kern w:val="0"/>
                <w:sz w:val="24"/>
                <w:szCs w:val="24"/>
              </w:rPr>
            </w:pPr>
          </w:p>
        </w:tc>
        <w:tc>
          <w:tcPr>
            <w:tcW w:w="512" w:type="pct"/>
            <w:vMerge w:val="continue"/>
          </w:tcPr>
          <w:p w14:paraId="08B30E16">
            <w:pPr>
              <w:widowControl/>
              <w:jc w:val="left"/>
              <w:rPr>
                <w:rFonts w:ascii="宋体" w:hAnsi="宋体" w:eastAsia="宋体" w:cs="宋体"/>
                <w:color w:val="000000"/>
                <w:kern w:val="0"/>
                <w:sz w:val="24"/>
                <w:szCs w:val="24"/>
              </w:rPr>
            </w:pPr>
          </w:p>
        </w:tc>
        <w:tc>
          <w:tcPr>
            <w:tcW w:w="540" w:type="pct"/>
            <w:vAlign w:val="center"/>
          </w:tcPr>
          <w:p w14:paraId="5DF185B0">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车辆管理</w:t>
            </w:r>
          </w:p>
        </w:tc>
        <w:tc>
          <w:tcPr>
            <w:tcW w:w="2375" w:type="pct"/>
            <w:gridSpan w:val="3"/>
          </w:tcPr>
          <w:p w14:paraId="521B4061">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实现用车管理、以及车辆维修保养管理。</w:t>
            </w:r>
          </w:p>
        </w:tc>
        <w:tc>
          <w:tcPr>
            <w:tcW w:w="625" w:type="pct"/>
            <w:vMerge w:val="continue"/>
          </w:tcPr>
          <w:p w14:paraId="1E7C0AB6">
            <w:pPr>
              <w:widowControl/>
              <w:jc w:val="left"/>
              <w:rPr>
                <w:rFonts w:hint="eastAsia" w:ascii="宋体" w:hAnsi="宋体" w:eastAsia="宋体" w:cs="宋体"/>
                <w:color w:val="000000"/>
                <w:kern w:val="0"/>
                <w:sz w:val="24"/>
                <w:szCs w:val="24"/>
              </w:rPr>
            </w:pPr>
          </w:p>
        </w:tc>
        <w:tc>
          <w:tcPr>
            <w:tcW w:w="645" w:type="pct"/>
            <w:vMerge w:val="continue"/>
          </w:tcPr>
          <w:p w14:paraId="3220E6E6">
            <w:pPr>
              <w:widowControl/>
              <w:jc w:val="left"/>
              <w:rPr>
                <w:rFonts w:hint="eastAsia" w:ascii="宋体" w:hAnsi="宋体" w:eastAsia="宋体" w:cs="宋体"/>
                <w:color w:val="000000"/>
                <w:kern w:val="0"/>
                <w:sz w:val="24"/>
                <w:szCs w:val="24"/>
              </w:rPr>
            </w:pPr>
          </w:p>
        </w:tc>
      </w:tr>
      <w:tr w14:paraId="3BF0D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300" w:type="pct"/>
            <w:vMerge w:val="continue"/>
          </w:tcPr>
          <w:p w14:paraId="71B470A2">
            <w:pPr>
              <w:widowControl/>
              <w:jc w:val="left"/>
              <w:rPr>
                <w:rFonts w:ascii="宋体" w:hAnsi="宋体" w:eastAsia="宋体" w:cs="宋体"/>
                <w:color w:val="000000"/>
                <w:kern w:val="0"/>
                <w:sz w:val="24"/>
                <w:szCs w:val="24"/>
              </w:rPr>
            </w:pPr>
          </w:p>
        </w:tc>
        <w:tc>
          <w:tcPr>
            <w:tcW w:w="512" w:type="pct"/>
            <w:vMerge w:val="continue"/>
          </w:tcPr>
          <w:p w14:paraId="4D51BBEF">
            <w:pPr>
              <w:widowControl/>
              <w:jc w:val="left"/>
              <w:rPr>
                <w:rFonts w:ascii="宋体" w:hAnsi="宋体" w:eastAsia="宋体" w:cs="宋体"/>
                <w:color w:val="000000"/>
                <w:kern w:val="0"/>
                <w:sz w:val="24"/>
                <w:szCs w:val="24"/>
              </w:rPr>
            </w:pPr>
          </w:p>
        </w:tc>
        <w:tc>
          <w:tcPr>
            <w:tcW w:w="540" w:type="pct"/>
            <w:vAlign w:val="center"/>
          </w:tcPr>
          <w:p w14:paraId="4E52B97A">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组织架构管理</w:t>
            </w:r>
          </w:p>
        </w:tc>
        <w:tc>
          <w:tcPr>
            <w:tcW w:w="2375" w:type="pct"/>
            <w:gridSpan w:val="3"/>
          </w:tcPr>
          <w:p w14:paraId="76B1DFF5">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将医院的组织架构维护到系统中。可通过Excel导入。</w:t>
            </w:r>
          </w:p>
        </w:tc>
        <w:tc>
          <w:tcPr>
            <w:tcW w:w="625" w:type="pct"/>
            <w:vMerge w:val="continue"/>
          </w:tcPr>
          <w:p w14:paraId="2DC2AB55">
            <w:pPr>
              <w:widowControl/>
              <w:jc w:val="left"/>
              <w:rPr>
                <w:rFonts w:hint="eastAsia" w:ascii="宋体" w:hAnsi="宋体" w:eastAsia="宋体" w:cs="宋体"/>
                <w:color w:val="000000"/>
                <w:kern w:val="0"/>
                <w:sz w:val="24"/>
                <w:szCs w:val="24"/>
              </w:rPr>
            </w:pPr>
          </w:p>
        </w:tc>
        <w:tc>
          <w:tcPr>
            <w:tcW w:w="645" w:type="pct"/>
            <w:vMerge w:val="continue"/>
          </w:tcPr>
          <w:p w14:paraId="104E12D3">
            <w:pPr>
              <w:widowControl/>
              <w:jc w:val="left"/>
              <w:rPr>
                <w:rFonts w:hint="eastAsia" w:ascii="宋体" w:hAnsi="宋体" w:eastAsia="宋体" w:cs="宋体"/>
                <w:color w:val="000000"/>
                <w:kern w:val="0"/>
                <w:sz w:val="24"/>
                <w:szCs w:val="24"/>
              </w:rPr>
            </w:pPr>
          </w:p>
        </w:tc>
      </w:tr>
      <w:tr w14:paraId="1A7A6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300" w:type="pct"/>
            <w:vMerge w:val="continue"/>
          </w:tcPr>
          <w:p w14:paraId="4C94FF40">
            <w:pPr>
              <w:widowControl/>
              <w:jc w:val="left"/>
              <w:rPr>
                <w:rFonts w:ascii="宋体" w:hAnsi="宋体" w:eastAsia="宋体" w:cs="宋体"/>
                <w:color w:val="000000"/>
                <w:kern w:val="0"/>
                <w:sz w:val="24"/>
                <w:szCs w:val="24"/>
              </w:rPr>
            </w:pPr>
          </w:p>
        </w:tc>
        <w:tc>
          <w:tcPr>
            <w:tcW w:w="512" w:type="pct"/>
            <w:vMerge w:val="continue"/>
          </w:tcPr>
          <w:p w14:paraId="798A9038">
            <w:pPr>
              <w:widowControl/>
              <w:jc w:val="left"/>
              <w:rPr>
                <w:rFonts w:ascii="宋体" w:hAnsi="宋体" w:eastAsia="宋体" w:cs="宋体"/>
                <w:color w:val="000000"/>
                <w:kern w:val="0"/>
                <w:sz w:val="24"/>
                <w:szCs w:val="24"/>
              </w:rPr>
            </w:pPr>
          </w:p>
        </w:tc>
        <w:tc>
          <w:tcPr>
            <w:tcW w:w="540" w:type="pct"/>
            <w:vAlign w:val="center"/>
          </w:tcPr>
          <w:p w14:paraId="06D66B3F">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用户账号管理</w:t>
            </w:r>
          </w:p>
        </w:tc>
        <w:tc>
          <w:tcPr>
            <w:tcW w:w="2375" w:type="pct"/>
            <w:gridSpan w:val="3"/>
          </w:tcPr>
          <w:p w14:paraId="65A870D6">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管理全院每个职工的OA账号，记录每个人的所属科室、手机号码、职务、工号、登录账号等</w:t>
            </w:r>
          </w:p>
        </w:tc>
        <w:tc>
          <w:tcPr>
            <w:tcW w:w="625" w:type="pct"/>
            <w:vMerge w:val="continue"/>
          </w:tcPr>
          <w:p w14:paraId="4A09A8C7">
            <w:pPr>
              <w:widowControl/>
              <w:jc w:val="left"/>
              <w:rPr>
                <w:rFonts w:hint="eastAsia" w:ascii="宋体" w:hAnsi="宋体" w:eastAsia="宋体" w:cs="宋体"/>
                <w:color w:val="000000"/>
                <w:kern w:val="0"/>
                <w:sz w:val="24"/>
                <w:szCs w:val="24"/>
              </w:rPr>
            </w:pPr>
          </w:p>
        </w:tc>
        <w:tc>
          <w:tcPr>
            <w:tcW w:w="645" w:type="pct"/>
            <w:vMerge w:val="continue"/>
          </w:tcPr>
          <w:p w14:paraId="58A2F27B">
            <w:pPr>
              <w:widowControl/>
              <w:jc w:val="left"/>
              <w:rPr>
                <w:rFonts w:hint="eastAsia" w:ascii="宋体" w:hAnsi="宋体" w:eastAsia="宋体" w:cs="宋体"/>
                <w:color w:val="000000"/>
                <w:kern w:val="0"/>
                <w:sz w:val="24"/>
                <w:szCs w:val="24"/>
              </w:rPr>
            </w:pPr>
          </w:p>
        </w:tc>
      </w:tr>
      <w:tr w14:paraId="29474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300" w:type="pct"/>
            <w:vMerge w:val="continue"/>
          </w:tcPr>
          <w:p w14:paraId="47FB12EE">
            <w:pPr>
              <w:widowControl/>
              <w:jc w:val="left"/>
              <w:rPr>
                <w:rFonts w:ascii="宋体" w:hAnsi="宋体" w:eastAsia="宋体" w:cs="宋体"/>
                <w:color w:val="000000"/>
                <w:kern w:val="0"/>
                <w:sz w:val="24"/>
                <w:szCs w:val="24"/>
              </w:rPr>
            </w:pPr>
          </w:p>
        </w:tc>
        <w:tc>
          <w:tcPr>
            <w:tcW w:w="512" w:type="pct"/>
            <w:vMerge w:val="continue"/>
          </w:tcPr>
          <w:p w14:paraId="71DA0B88">
            <w:pPr>
              <w:widowControl/>
              <w:jc w:val="left"/>
              <w:rPr>
                <w:rFonts w:ascii="宋体" w:hAnsi="宋体" w:eastAsia="宋体" w:cs="宋体"/>
                <w:color w:val="000000"/>
                <w:kern w:val="0"/>
                <w:sz w:val="24"/>
                <w:szCs w:val="24"/>
              </w:rPr>
            </w:pPr>
          </w:p>
        </w:tc>
        <w:tc>
          <w:tcPr>
            <w:tcW w:w="540" w:type="pct"/>
            <w:vAlign w:val="center"/>
          </w:tcPr>
          <w:p w14:paraId="57662ECA">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通讯录</w:t>
            </w:r>
          </w:p>
        </w:tc>
        <w:tc>
          <w:tcPr>
            <w:tcW w:w="2375" w:type="pct"/>
            <w:gridSpan w:val="3"/>
          </w:tcPr>
          <w:p w14:paraId="71AF5B42">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自动生成全院职工内部通讯录、创建并维护个人专用通讯录，可在线查看、检索，可进行权限控制</w:t>
            </w:r>
          </w:p>
        </w:tc>
        <w:tc>
          <w:tcPr>
            <w:tcW w:w="625" w:type="pct"/>
            <w:vMerge w:val="continue"/>
          </w:tcPr>
          <w:p w14:paraId="553FBC88">
            <w:pPr>
              <w:widowControl/>
              <w:jc w:val="left"/>
              <w:rPr>
                <w:rFonts w:hint="eastAsia" w:ascii="宋体" w:hAnsi="宋体" w:eastAsia="宋体" w:cs="宋体"/>
                <w:color w:val="000000"/>
                <w:kern w:val="0"/>
                <w:sz w:val="24"/>
                <w:szCs w:val="24"/>
              </w:rPr>
            </w:pPr>
          </w:p>
        </w:tc>
        <w:tc>
          <w:tcPr>
            <w:tcW w:w="645" w:type="pct"/>
            <w:vMerge w:val="continue"/>
          </w:tcPr>
          <w:p w14:paraId="6C490F06">
            <w:pPr>
              <w:widowControl/>
              <w:jc w:val="left"/>
              <w:rPr>
                <w:rFonts w:hint="eastAsia" w:ascii="宋体" w:hAnsi="宋体" w:eastAsia="宋体" w:cs="宋体"/>
                <w:color w:val="000000"/>
                <w:kern w:val="0"/>
                <w:sz w:val="24"/>
                <w:szCs w:val="24"/>
              </w:rPr>
            </w:pPr>
          </w:p>
        </w:tc>
      </w:tr>
      <w:tr w14:paraId="19662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300" w:type="pct"/>
            <w:vMerge w:val="continue"/>
          </w:tcPr>
          <w:p w14:paraId="2D65167A">
            <w:pPr>
              <w:widowControl/>
              <w:jc w:val="left"/>
              <w:rPr>
                <w:rFonts w:ascii="宋体" w:hAnsi="宋体" w:eastAsia="宋体" w:cs="宋体"/>
                <w:color w:val="000000"/>
                <w:kern w:val="0"/>
                <w:sz w:val="24"/>
                <w:szCs w:val="24"/>
              </w:rPr>
            </w:pPr>
          </w:p>
        </w:tc>
        <w:tc>
          <w:tcPr>
            <w:tcW w:w="512" w:type="pct"/>
            <w:vMerge w:val="continue"/>
          </w:tcPr>
          <w:p w14:paraId="0011C046">
            <w:pPr>
              <w:widowControl/>
              <w:jc w:val="left"/>
              <w:rPr>
                <w:rFonts w:ascii="宋体" w:hAnsi="宋体" w:eastAsia="宋体" w:cs="宋体"/>
                <w:color w:val="000000"/>
                <w:kern w:val="0"/>
                <w:sz w:val="24"/>
                <w:szCs w:val="24"/>
              </w:rPr>
            </w:pPr>
          </w:p>
        </w:tc>
        <w:tc>
          <w:tcPr>
            <w:tcW w:w="540" w:type="pct"/>
            <w:vMerge w:val="restart"/>
            <w:vAlign w:val="center"/>
          </w:tcPr>
          <w:p w14:paraId="2F87AC70">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流程管理</w:t>
            </w:r>
          </w:p>
        </w:tc>
        <w:tc>
          <w:tcPr>
            <w:tcW w:w="2375" w:type="pct"/>
            <w:gridSpan w:val="3"/>
          </w:tcPr>
          <w:p w14:paraId="4C59577B">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提供流程设计、发起流程申请、流程审批、流程查询、流程监控、统计分析功能；</w:t>
            </w:r>
          </w:p>
        </w:tc>
        <w:tc>
          <w:tcPr>
            <w:tcW w:w="625" w:type="pct"/>
            <w:vMerge w:val="continue"/>
          </w:tcPr>
          <w:p w14:paraId="6D7C11E7">
            <w:pPr>
              <w:widowControl/>
              <w:jc w:val="left"/>
              <w:rPr>
                <w:rFonts w:hint="eastAsia" w:ascii="宋体" w:hAnsi="宋体" w:eastAsia="宋体" w:cs="宋体"/>
                <w:color w:val="000000"/>
                <w:kern w:val="0"/>
                <w:sz w:val="24"/>
                <w:szCs w:val="24"/>
              </w:rPr>
            </w:pPr>
          </w:p>
        </w:tc>
        <w:tc>
          <w:tcPr>
            <w:tcW w:w="645" w:type="pct"/>
            <w:vMerge w:val="continue"/>
          </w:tcPr>
          <w:p w14:paraId="46EB7D2C">
            <w:pPr>
              <w:widowControl/>
              <w:jc w:val="left"/>
              <w:rPr>
                <w:rFonts w:hint="eastAsia" w:ascii="宋体" w:hAnsi="宋体" w:eastAsia="宋体" w:cs="宋体"/>
                <w:color w:val="000000"/>
                <w:kern w:val="0"/>
                <w:sz w:val="24"/>
                <w:szCs w:val="24"/>
              </w:rPr>
            </w:pPr>
          </w:p>
        </w:tc>
      </w:tr>
      <w:tr w14:paraId="67428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300" w:type="pct"/>
            <w:vMerge w:val="continue"/>
          </w:tcPr>
          <w:p w14:paraId="293B3D69">
            <w:pPr>
              <w:widowControl/>
              <w:jc w:val="left"/>
              <w:rPr>
                <w:rFonts w:ascii="宋体" w:hAnsi="宋体" w:eastAsia="宋体" w:cs="宋体"/>
                <w:color w:val="000000"/>
                <w:kern w:val="0"/>
                <w:sz w:val="24"/>
                <w:szCs w:val="24"/>
              </w:rPr>
            </w:pPr>
          </w:p>
        </w:tc>
        <w:tc>
          <w:tcPr>
            <w:tcW w:w="512" w:type="pct"/>
            <w:vMerge w:val="continue"/>
          </w:tcPr>
          <w:p w14:paraId="216C9094">
            <w:pPr>
              <w:widowControl/>
              <w:jc w:val="left"/>
              <w:rPr>
                <w:rFonts w:ascii="宋体" w:hAnsi="宋体" w:eastAsia="宋体" w:cs="宋体"/>
                <w:color w:val="000000"/>
                <w:kern w:val="0"/>
                <w:sz w:val="24"/>
                <w:szCs w:val="24"/>
              </w:rPr>
            </w:pPr>
          </w:p>
        </w:tc>
        <w:tc>
          <w:tcPr>
            <w:tcW w:w="540" w:type="pct"/>
            <w:vMerge w:val="continue"/>
            <w:vAlign w:val="center"/>
          </w:tcPr>
          <w:p w14:paraId="48044F6D">
            <w:pPr>
              <w:widowControl/>
              <w:jc w:val="center"/>
              <w:rPr>
                <w:rFonts w:ascii="宋体" w:hAnsi="宋体" w:eastAsia="宋体" w:cs="宋体"/>
                <w:color w:val="000000"/>
                <w:kern w:val="0"/>
                <w:sz w:val="24"/>
                <w:szCs w:val="24"/>
              </w:rPr>
            </w:pPr>
          </w:p>
        </w:tc>
        <w:tc>
          <w:tcPr>
            <w:tcW w:w="2375" w:type="pct"/>
            <w:gridSpan w:val="3"/>
          </w:tcPr>
          <w:p w14:paraId="530CD8AD">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流程设计、流转跟踪完全图形化；</w:t>
            </w:r>
          </w:p>
        </w:tc>
        <w:tc>
          <w:tcPr>
            <w:tcW w:w="625" w:type="pct"/>
            <w:vMerge w:val="continue"/>
          </w:tcPr>
          <w:p w14:paraId="2F6F53C6">
            <w:pPr>
              <w:widowControl/>
              <w:jc w:val="left"/>
              <w:rPr>
                <w:rFonts w:hint="eastAsia" w:ascii="宋体" w:hAnsi="宋体" w:eastAsia="宋体" w:cs="宋体"/>
                <w:color w:val="000000"/>
                <w:kern w:val="0"/>
                <w:sz w:val="24"/>
                <w:szCs w:val="24"/>
              </w:rPr>
            </w:pPr>
          </w:p>
        </w:tc>
        <w:tc>
          <w:tcPr>
            <w:tcW w:w="645" w:type="pct"/>
            <w:vMerge w:val="continue"/>
          </w:tcPr>
          <w:p w14:paraId="0729F4C5">
            <w:pPr>
              <w:widowControl/>
              <w:jc w:val="left"/>
              <w:rPr>
                <w:rFonts w:hint="eastAsia" w:ascii="宋体" w:hAnsi="宋体" w:eastAsia="宋体" w:cs="宋体"/>
                <w:color w:val="000000"/>
                <w:kern w:val="0"/>
                <w:sz w:val="24"/>
                <w:szCs w:val="24"/>
              </w:rPr>
            </w:pPr>
          </w:p>
        </w:tc>
      </w:tr>
      <w:tr w14:paraId="1EF20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300" w:type="pct"/>
            <w:vMerge w:val="continue"/>
          </w:tcPr>
          <w:p w14:paraId="7CEA1175">
            <w:pPr>
              <w:widowControl/>
              <w:jc w:val="left"/>
              <w:rPr>
                <w:rFonts w:ascii="宋体" w:hAnsi="宋体" w:eastAsia="宋体" w:cs="宋体"/>
                <w:color w:val="000000"/>
                <w:kern w:val="0"/>
                <w:sz w:val="24"/>
                <w:szCs w:val="24"/>
              </w:rPr>
            </w:pPr>
          </w:p>
        </w:tc>
        <w:tc>
          <w:tcPr>
            <w:tcW w:w="512" w:type="pct"/>
            <w:vMerge w:val="continue"/>
          </w:tcPr>
          <w:p w14:paraId="2A4A7D50">
            <w:pPr>
              <w:widowControl/>
              <w:jc w:val="left"/>
              <w:rPr>
                <w:rFonts w:ascii="宋体" w:hAnsi="宋体" w:eastAsia="宋体" w:cs="宋体"/>
                <w:color w:val="000000"/>
                <w:kern w:val="0"/>
                <w:sz w:val="24"/>
                <w:szCs w:val="24"/>
              </w:rPr>
            </w:pPr>
          </w:p>
        </w:tc>
        <w:tc>
          <w:tcPr>
            <w:tcW w:w="540" w:type="pct"/>
            <w:vMerge w:val="continue"/>
            <w:vAlign w:val="center"/>
          </w:tcPr>
          <w:p w14:paraId="7285996D">
            <w:pPr>
              <w:widowControl/>
              <w:jc w:val="center"/>
              <w:rPr>
                <w:rFonts w:ascii="宋体" w:hAnsi="宋体" w:eastAsia="宋体" w:cs="宋体"/>
                <w:color w:val="000000"/>
                <w:kern w:val="0"/>
                <w:sz w:val="24"/>
                <w:szCs w:val="24"/>
              </w:rPr>
            </w:pPr>
          </w:p>
        </w:tc>
        <w:tc>
          <w:tcPr>
            <w:tcW w:w="2375" w:type="pct"/>
            <w:gridSpan w:val="3"/>
          </w:tcPr>
          <w:p w14:paraId="2FE5CE7C">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支持审批、知会、加签、转签、退回、撤销动作；</w:t>
            </w:r>
          </w:p>
        </w:tc>
        <w:tc>
          <w:tcPr>
            <w:tcW w:w="625" w:type="pct"/>
            <w:vMerge w:val="continue"/>
          </w:tcPr>
          <w:p w14:paraId="14962871">
            <w:pPr>
              <w:widowControl/>
              <w:jc w:val="left"/>
              <w:rPr>
                <w:rFonts w:hint="eastAsia" w:ascii="宋体" w:hAnsi="宋体" w:eastAsia="宋体" w:cs="宋体"/>
                <w:color w:val="000000"/>
                <w:kern w:val="0"/>
                <w:sz w:val="24"/>
                <w:szCs w:val="24"/>
              </w:rPr>
            </w:pPr>
          </w:p>
        </w:tc>
        <w:tc>
          <w:tcPr>
            <w:tcW w:w="645" w:type="pct"/>
            <w:vMerge w:val="continue"/>
          </w:tcPr>
          <w:p w14:paraId="04E005C2">
            <w:pPr>
              <w:widowControl/>
              <w:jc w:val="left"/>
              <w:rPr>
                <w:rFonts w:hint="eastAsia" w:ascii="宋体" w:hAnsi="宋体" w:eastAsia="宋体" w:cs="宋体"/>
                <w:color w:val="000000"/>
                <w:kern w:val="0"/>
                <w:sz w:val="24"/>
                <w:szCs w:val="24"/>
              </w:rPr>
            </w:pPr>
          </w:p>
        </w:tc>
      </w:tr>
      <w:tr w14:paraId="59682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300" w:type="pct"/>
            <w:vMerge w:val="continue"/>
          </w:tcPr>
          <w:p w14:paraId="6C64D739">
            <w:pPr>
              <w:widowControl/>
              <w:jc w:val="left"/>
              <w:rPr>
                <w:rFonts w:ascii="宋体" w:hAnsi="宋体" w:eastAsia="宋体" w:cs="宋体"/>
                <w:color w:val="000000"/>
                <w:kern w:val="0"/>
                <w:sz w:val="24"/>
                <w:szCs w:val="24"/>
              </w:rPr>
            </w:pPr>
          </w:p>
        </w:tc>
        <w:tc>
          <w:tcPr>
            <w:tcW w:w="512" w:type="pct"/>
            <w:vMerge w:val="continue"/>
          </w:tcPr>
          <w:p w14:paraId="0F637E3A">
            <w:pPr>
              <w:widowControl/>
              <w:jc w:val="left"/>
              <w:rPr>
                <w:rFonts w:ascii="宋体" w:hAnsi="宋体" w:eastAsia="宋体" w:cs="宋体"/>
                <w:color w:val="000000"/>
                <w:kern w:val="0"/>
                <w:sz w:val="24"/>
                <w:szCs w:val="24"/>
              </w:rPr>
            </w:pPr>
          </w:p>
        </w:tc>
        <w:tc>
          <w:tcPr>
            <w:tcW w:w="540" w:type="pct"/>
            <w:vMerge w:val="continue"/>
            <w:vAlign w:val="center"/>
          </w:tcPr>
          <w:p w14:paraId="35B945D3">
            <w:pPr>
              <w:widowControl/>
              <w:jc w:val="center"/>
              <w:rPr>
                <w:rFonts w:ascii="宋体" w:hAnsi="宋体" w:eastAsia="宋体" w:cs="宋体"/>
                <w:color w:val="000000"/>
                <w:kern w:val="0"/>
                <w:sz w:val="24"/>
                <w:szCs w:val="24"/>
              </w:rPr>
            </w:pPr>
          </w:p>
        </w:tc>
        <w:tc>
          <w:tcPr>
            <w:tcW w:w="2375" w:type="pct"/>
            <w:gridSpan w:val="3"/>
          </w:tcPr>
          <w:p w14:paraId="35AE79C6">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支持串行、并行、分流、合流、以及子流程。</w:t>
            </w:r>
          </w:p>
        </w:tc>
        <w:tc>
          <w:tcPr>
            <w:tcW w:w="625" w:type="pct"/>
            <w:vMerge w:val="continue"/>
          </w:tcPr>
          <w:p w14:paraId="7CBF5358">
            <w:pPr>
              <w:widowControl/>
              <w:jc w:val="left"/>
              <w:rPr>
                <w:rFonts w:hint="eastAsia" w:ascii="宋体" w:hAnsi="宋体" w:eastAsia="宋体" w:cs="宋体"/>
                <w:color w:val="000000"/>
                <w:kern w:val="0"/>
                <w:sz w:val="24"/>
                <w:szCs w:val="24"/>
              </w:rPr>
            </w:pPr>
          </w:p>
        </w:tc>
        <w:tc>
          <w:tcPr>
            <w:tcW w:w="645" w:type="pct"/>
            <w:vMerge w:val="continue"/>
          </w:tcPr>
          <w:p w14:paraId="08DA99A5">
            <w:pPr>
              <w:widowControl/>
              <w:jc w:val="left"/>
              <w:rPr>
                <w:rFonts w:hint="eastAsia" w:ascii="宋体" w:hAnsi="宋体" w:eastAsia="宋体" w:cs="宋体"/>
                <w:color w:val="000000"/>
                <w:kern w:val="0"/>
                <w:sz w:val="24"/>
                <w:szCs w:val="24"/>
              </w:rPr>
            </w:pPr>
          </w:p>
        </w:tc>
      </w:tr>
      <w:tr w14:paraId="4A37E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300" w:type="pct"/>
            <w:vMerge w:val="continue"/>
          </w:tcPr>
          <w:p w14:paraId="33479BD1">
            <w:pPr>
              <w:widowControl/>
              <w:jc w:val="left"/>
              <w:rPr>
                <w:rFonts w:ascii="宋体" w:hAnsi="宋体" w:eastAsia="宋体" w:cs="宋体"/>
                <w:color w:val="000000"/>
                <w:kern w:val="0"/>
                <w:sz w:val="24"/>
                <w:szCs w:val="24"/>
              </w:rPr>
            </w:pPr>
          </w:p>
        </w:tc>
        <w:tc>
          <w:tcPr>
            <w:tcW w:w="512" w:type="pct"/>
            <w:vMerge w:val="continue"/>
          </w:tcPr>
          <w:p w14:paraId="65FEDD34">
            <w:pPr>
              <w:widowControl/>
              <w:jc w:val="left"/>
              <w:rPr>
                <w:rFonts w:ascii="宋体" w:hAnsi="宋体" w:eastAsia="宋体" w:cs="宋体"/>
                <w:color w:val="000000"/>
                <w:kern w:val="0"/>
                <w:sz w:val="24"/>
                <w:szCs w:val="24"/>
              </w:rPr>
            </w:pPr>
          </w:p>
        </w:tc>
        <w:tc>
          <w:tcPr>
            <w:tcW w:w="540" w:type="pct"/>
            <w:vAlign w:val="center"/>
          </w:tcPr>
          <w:p w14:paraId="11D7E5B5">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自定义表单</w:t>
            </w:r>
          </w:p>
        </w:tc>
        <w:tc>
          <w:tcPr>
            <w:tcW w:w="2375" w:type="pct"/>
            <w:gridSpan w:val="3"/>
          </w:tcPr>
          <w:p w14:paraId="6DB7C627">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提供所见即所得的自定义表单设计器，可根据医院实际情况，设计制作诸如不良事件上报、物资领用申请、印章使用申请等各种业务表格，发布后即可直接使用，无需开发人员编写程序。</w:t>
            </w:r>
          </w:p>
        </w:tc>
        <w:tc>
          <w:tcPr>
            <w:tcW w:w="625" w:type="pct"/>
            <w:vMerge w:val="continue"/>
          </w:tcPr>
          <w:p w14:paraId="595FB460">
            <w:pPr>
              <w:widowControl/>
              <w:jc w:val="left"/>
              <w:rPr>
                <w:rFonts w:hint="eastAsia" w:ascii="宋体" w:hAnsi="宋体" w:eastAsia="宋体" w:cs="宋体"/>
                <w:color w:val="000000"/>
                <w:kern w:val="0"/>
                <w:sz w:val="24"/>
                <w:szCs w:val="24"/>
              </w:rPr>
            </w:pPr>
          </w:p>
        </w:tc>
        <w:tc>
          <w:tcPr>
            <w:tcW w:w="645" w:type="pct"/>
            <w:vMerge w:val="continue"/>
          </w:tcPr>
          <w:p w14:paraId="7943036E">
            <w:pPr>
              <w:widowControl/>
              <w:jc w:val="left"/>
              <w:rPr>
                <w:rFonts w:hint="eastAsia" w:ascii="宋体" w:hAnsi="宋体" w:eastAsia="宋体" w:cs="宋体"/>
                <w:color w:val="000000"/>
                <w:kern w:val="0"/>
                <w:sz w:val="24"/>
                <w:szCs w:val="24"/>
              </w:rPr>
            </w:pPr>
          </w:p>
        </w:tc>
      </w:tr>
      <w:tr w14:paraId="206B8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300" w:type="pct"/>
            <w:vMerge w:val="continue"/>
          </w:tcPr>
          <w:p w14:paraId="2166AF13">
            <w:pPr>
              <w:widowControl/>
              <w:jc w:val="left"/>
              <w:rPr>
                <w:rFonts w:ascii="宋体" w:hAnsi="宋体" w:eastAsia="宋体" w:cs="宋体"/>
                <w:color w:val="000000"/>
                <w:kern w:val="0"/>
                <w:sz w:val="24"/>
                <w:szCs w:val="24"/>
              </w:rPr>
            </w:pPr>
          </w:p>
        </w:tc>
        <w:tc>
          <w:tcPr>
            <w:tcW w:w="512" w:type="pct"/>
            <w:vMerge w:val="continue"/>
          </w:tcPr>
          <w:p w14:paraId="57160664">
            <w:pPr>
              <w:widowControl/>
              <w:jc w:val="left"/>
              <w:rPr>
                <w:rFonts w:ascii="宋体" w:hAnsi="宋体" w:eastAsia="宋体" w:cs="宋体"/>
                <w:color w:val="000000"/>
                <w:kern w:val="0"/>
                <w:sz w:val="24"/>
                <w:szCs w:val="24"/>
              </w:rPr>
            </w:pPr>
          </w:p>
        </w:tc>
        <w:tc>
          <w:tcPr>
            <w:tcW w:w="540" w:type="pct"/>
            <w:vAlign w:val="center"/>
          </w:tcPr>
          <w:p w14:paraId="0F0845BC">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移动应用</w:t>
            </w:r>
          </w:p>
        </w:tc>
        <w:tc>
          <w:tcPr>
            <w:tcW w:w="2375" w:type="pct"/>
            <w:gridSpan w:val="3"/>
          </w:tcPr>
          <w:p w14:paraId="089042CF">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通过智能手机实现流程审批、阅读内部邮件、查看通知/新闻等。</w:t>
            </w:r>
          </w:p>
        </w:tc>
        <w:tc>
          <w:tcPr>
            <w:tcW w:w="625" w:type="pct"/>
            <w:vMerge w:val="continue"/>
          </w:tcPr>
          <w:p w14:paraId="523A732F">
            <w:pPr>
              <w:widowControl/>
              <w:jc w:val="left"/>
              <w:rPr>
                <w:rFonts w:hint="eastAsia" w:ascii="宋体" w:hAnsi="宋体" w:eastAsia="宋体" w:cs="宋体"/>
                <w:color w:val="000000"/>
                <w:kern w:val="0"/>
                <w:sz w:val="24"/>
                <w:szCs w:val="24"/>
              </w:rPr>
            </w:pPr>
          </w:p>
        </w:tc>
        <w:tc>
          <w:tcPr>
            <w:tcW w:w="645" w:type="pct"/>
            <w:vMerge w:val="continue"/>
          </w:tcPr>
          <w:p w14:paraId="0FD64F1E">
            <w:pPr>
              <w:widowControl/>
              <w:jc w:val="left"/>
              <w:rPr>
                <w:rFonts w:hint="eastAsia" w:ascii="宋体" w:hAnsi="宋体" w:eastAsia="宋体" w:cs="宋体"/>
                <w:color w:val="000000"/>
                <w:kern w:val="0"/>
                <w:sz w:val="24"/>
                <w:szCs w:val="24"/>
              </w:rPr>
            </w:pPr>
          </w:p>
        </w:tc>
      </w:tr>
      <w:tr w14:paraId="6DE25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300" w:type="pct"/>
            <w:vMerge w:val="continue"/>
          </w:tcPr>
          <w:p w14:paraId="2D1A8687">
            <w:pPr>
              <w:widowControl/>
              <w:jc w:val="left"/>
              <w:rPr>
                <w:rFonts w:ascii="宋体" w:hAnsi="宋体" w:eastAsia="宋体" w:cs="宋体"/>
                <w:color w:val="000000"/>
                <w:kern w:val="0"/>
                <w:sz w:val="24"/>
                <w:szCs w:val="24"/>
              </w:rPr>
            </w:pPr>
          </w:p>
        </w:tc>
        <w:tc>
          <w:tcPr>
            <w:tcW w:w="512" w:type="pct"/>
            <w:vMerge w:val="continue"/>
          </w:tcPr>
          <w:p w14:paraId="51C3AC51">
            <w:pPr>
              <w:widowControl/>
              <w:jc w:val="left"/>
              <w:rPr>
                <w:rFonts w:ascii="宋体" w:hAnsi="宋体" w:eastAsia="宋体" w:cs="宋体"/>
                <w:color w:val="000000"/>
                <w:kern w:val="0"/>
                <w:sz w:val="24"/>
                <w:szCs w:val="24"/>
              </w:rPr>
            </w:pPr>
          </w:p>
        </w:tc>
        <w:tc>
          <w:tcPr>
            <w:tcW w:w="540" w:type="pct"/>
            <w:vAlign w:val="center"/>
          </w:tcPr>
          <w:p w14:paraId="270BDAD7">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在线模板库</w:t>
            </w:r>
          </w:p>
        </w:tc>
        <w:tc>
          <w:tcPr>
            <w:tcW w:w="2375" w:type="pct"/>
            <w:gridSpan w:val="3"/>
          </w:tcPr>
          <w:p w14:paraId="1A97FB37">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提供在线医院流程及表单模板库（数量不少于2000条流程模板），提供医院全科室管理流程及表单模板。</w:t>
            </w:r>
          </w:p>
        </w:tc>
        <w:tc>
          <w:tcPr>
            <w:tcW w:w="625" w:type="pct"/>
            <w:vMerge w:val="continue"/>
          </w:tcPr>
          <w:p w14:paraId="36F7C01C">
            <w:pPr>
              <w:widowControl/>
              <w:jc w:val="left"/>
              <w:rPr>
                <w:rFonts w:hint="eastAsia" w:ascii="宋体" w:hAnsi="宋体" w:eastAsia="宋体" w:cs="宋体"/>
                <w:color w:val="000000"/>
                <w:kern w:val="0"/>
                <w:sz w:val="24"/>
                <w:szCs w:val="24"/>
              </w:rPr>
            </w:pPr>
          </w:p>
        </w:tc>
        <w:tc>
          <w:tcPr>
            <w:tcW w:w="645" w:type="pct"/>
            <w:vMerge w:val="continue"/>
          </w:tcPr>
          <w:p w14:paraId="2FDEB381">
            <w:pPr>
              <w:widowControl/>
              <w:jc w:val="left"/>
              <w:rPr>
                <w:rFonts w:hint="eastAsia" w:ascii="宋体" w:hAnsi="宋体" w:eastAsia="宋体" w:cs="宋体"/>
                <w:color w:val="000000"/>
                <w:kern w:val="0"/>
                <w:sz w:val="24"/>
                <w:szCs w:val="24"/>
              </w:rPr>
            </w:pPr>
          </w:p>
        </w:tc>
      </w:tr>
      <w:tr w14:paraId="4A46F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300" w:type="pct"/>
            <w:vMerge w:val="continue"/>
          </w:tcPr>
          <w:p w14:paraId="75661CCF">
            <w:pPr>
              <w:widowControl/>
              <w:jc w:val="left"/>
              <w:rPr>
                <w:rFonts w:ascii="宋体" w:hAnsi="宋体" w:eastAsia="宋体" w:cs="宋体"/>
                <w:color w:val="000000"/>
                <w:kern w:val="0"/>
                <w:sz w:val="24"/>
                <w:szCs w:val="24"/>
              </w:rPr>
            </w:pPr>
          </w:p>
        </w:tc>
        <w:tc>
          <w:tcPr>
            <w:tcW w:w="512" w:type="pct"/>
            <w:vMerge w:val="continue"/>
          </w:tcPr>
          <w:p w14:paraId="55F34A87">
            <w:pPr>
              <w:widowControl/>
              <w:jc w:val="left"/>
              <w:rPr>
                <w:rFonts w:ascii="宋体" w:hAnsi="宋体" w:eastAsia="宋体" w:cs="宋体"/>
                <w:color w:val="000000"/>
                <w:kern w:val="0"/>
                <w:sz w:val="24"/>
                <w:szCs w:val="24"/>
              </w:rPr>
            </w:pPr>
          </w:p>
        </w:tc>
        <w:tc>
          <w:tcPr>
            <w:tcW w:w="540" w:type="pct"/>
            <w:vAlign w:val="center"/>
          </w:tcPr>
          <w:p w14:paraId="27D47748">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后台管理</w:t>
            </w:r>
          </w:p>
        </w:tc>
        <w:tc>
          <w:tcPr>
            <w:tcW w:w="2375" w:type="pct"/>
            <w:gridSpan w:val="3"/>
          </w:tcPr>
          <w:p w14:paraId="206232B8">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维护系统参数、代码、运行日志、以及各项功能的权限</w:t>
            </w:r>
          </w:p>
        </w:tc>
        <w:tc>
          <w:tcPr>
            <w:tcW w:w="625" w:type="pct"/>
            <w:vMerge w:val="continue"/>
          </w:tcPr>
          <w:p w14:paraId="1586C61D">
            <w:pPr>
              <w:widowControl/>
              <w:jc w:val="left"/>
              <w:rPr>
                <w:rFonts w:hint="eastAsia" w:ascii="宋体" w:hAnsi="宋体" w:eastAsia="宋体" w:cs="宋体"/>
                <w:color w:val="000000"/>
                <w:kern w:val="0"/>
                <w:sz w:val="24"/>
                <w:szCs w:val="24"/>
              </w:rPr>
            </w:pPr>
          </w:p>
        </w:tc>
        <w:tc>
          <w:tcPr>
            <w:tcW w:w="645" w:type="pct"/>
            <w:vMerge w:val="continue"/>
          </w:tcPr>
          <w:p w14:paraId="5F10FCDE">
            <w:pPr>
              <w:widowControl/>
              <w:jc w:val="left"/>
              <w:rPr>
                <w:rFonts w:hint="eastAsia" w:ascii="宋体" w:hAnsi="宋体" w:eastAsia="宋体" w:cs="宋体"/>
                <w:color w:val="000000"/>
                <w:kern w:val="0"/>
                <w:sz w:val="24"/>
                <w:szCs w:val="24"/>
              </w:rPr>
            </w:pPr>
          </w:p>
        </w:tc>
      </w:tr>
      <w:tr w14:paraId="6EE77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300" w:type="pct"/>
            <w:vMerge w:val="continue"/>
          </w:tcPr>
          <w:p w14:paraId="136B6AF6">
            <w:pPr>
              <w:widowControl/>
              <w:jc w:val="center"/>
              <w:rPr>
                <w:rFonts w:ascii="宋体" w:hAnsi="宋体" w:eastAsia="宋体" w:cs="宋体"/>
                <w:color w:val="000000"/>
                <w:kern w:val="0"/>
                <w:sz w:val="24"/>
                <w:szCs w:val="24"/>
              </w:rPr>
            </w:pPr>
          </w:p>
        </w:tc>
        <w:tc>
          <w:tcPr>
            <w:tcW w:w="512" w:type="pct"/>
            <w:vMerge w:val="continue"/>
            <w:noWrap/>
          </w:tcPr>
          <w:p w14:paraId="423B511C">
            <w:pPr>
              <w:widowControl/>
              <w:jc w:val="center"/>
              <w:rPr>
                <w:rFonts w:ascii="宋体" w:hAnsi="宋体" w:eastAsia="宋体" w:cs="宋体"/>
                <w:color w:val="000000"/>
                <w:kern w:val="0"/>
                <w:sz w:val="24"/>
                <w:szCs w:val="24"/>
              </w:rPr>
            </w:pPr>
          </w:p>
        </w:tc>
        <w:tc>
          <w:tcPr>
            <w:tcW w:w="540" w:type="pct"/>
            <w:vAlign w:val="center"/>
          </w:tcPr>
          <w:p w14:paraId="0D2AD12B">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提供标准接口</w:t>
            </w:r>
          </w:p>
        </w:tc>
        <w:tc>
          <w:tcPr>
            <w:tcW w:w="2375" w:type="pct"/>
            <w:gridSpan w:val="3"/>
          </w:tcPr>
          <w:p w14:paraId="61F86CB8">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接口开发，业务系统间数据对接，按要求和规范进行数据传递，获取。</w:t>
            </w:r>
          </w:p>
        </w:tc>
        <w:tc>
          <w:tcPr>
            <w:tcW w:w="625" w:type="pct"/>
            <w:vMerge w:val="continue"/>
          </w:tcPr>
          <w:p w14:paraId="3699341C">
            <w:pPr>
              <w:widowControl/>
              <w:jc w:val="left"/>
              <w:rPr>
                <w:rFonts w:hint="eastAsia" w:ascii="宋体" w:hAnsi="宋体" w:eastAsia="宋体" w:cs="宋体"/>
                <w:color w:val="000000"/>
                <w:kern w:val="0"/>
                <w:sz w:val="24"/>
                <w:szCs w:val="24"/>
              </w:rPr>
            </w:pPr>
          </w:p>
        </w:tc>
        <w:tc>
          <w:tcPr>
            <w:tcW w:w="645" w:type="pct"/>
            <w:vMerge w:val="continue"/>
          </w:tcPr>
          <w:p w14:paraId="72B747DA">
            <w:pPr>
              <w:widowControl/>
              <w:jc w:val="left"/>
              <w:rPr>
                <w:rFonts w:hint="eastAsia" w:ascii="宋体" w:hAnsi="宋体" w:eastAsia="宋体" w:cs="宋体"/>
                <w:color w:val="000000"/>
                <w:kern w:val="0"/>
                <w:sz w:val="24"/>
                <w:szCs w:val="24"/>
              </w:rPr>
            </w:pPr>
          </w:p>
        </w:tc>
      </w:tr>
      <w:tr w14:paraId="45591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300" w:type="pct"/>
            <w:vMerge w:val="continue"/>
          </w:tcPr>
          <w:p w14:paraId="61C0F513">
            <w:pPr>
              <w:widowControl/>
              <w:jc w:val="center"/>
              <w:rPr>
                <w:rFonts w:ascii="宋体" w:hAnsi="宋体" w:eastAsia="宋体" w:cs="宋体"/>
                <w:color w:val="000000"/>
                <w:kern w:val="0"/>
                <w:sz w:val="24"/>
                <w:szCs w:val="24"/>
              </w:rPr>
            </w:pPr>
          </w:p>
        </w:tc>
        <w:tc>
          <w:tcPr>
            <w:tcW w:w="512" w:type="pct"/>
            <w:vMerge w:val="continue"/>
            <w:noWrap/>
          </w:tcPr>
          <w:p w14:paraId="6FBC2F3F">
            <w:pPr>
              <w:widowControl/>
              <w:jc w:val="center"/>
              <w:rPr>
                <w:rFonts w:ascii="宋体" w:hAnsi="宋体" w:eastAsia="宋体" w:cs="宋体"/>
                <w:color w:val="000000"/>
                <w:kern w:val="0"/>
                <w:sz w:val="24"/>
                <w:szCs w:val="24"/>
              </w:rPr>
            </w:pPr>
          </w:p>
        </w:tc>
        <w:tc>
          <w:tcPr>
            <w:tcW w:w="540" w:type="pct"/>
            <w:vAlign w:val="center"/>
          </w:tcPr>
          <w:p w14:paraId="4DFE6241">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对接企业微信</w:t>
            </w:r>
          </w:p>
        </w:tc>
        <w:tc>
          <w:tcPr>
            <w:tcW w:w="2375" w:type="pct"/>
            <w:gridSpan w:val="3"/>
          </w:tcPr>
          <w:p w14:paraId="18E6A2C1">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集成</w:t>
            </w:r>
            <w:r>
              <w:rPr>
                <w:rFonts w:ascii="宋体" w:hAnsi="宋体" w:eastAsia="宋体" w:cs="宋体"/>
                <w:color w:val="000000"/>
                <w:kern w:val="0"/>
                <w:sz w:val="24"/>
                <w:szCs w:val="24"/>
              </w:rPr>
              <w:t>企微信</w:t>
            </w:r>
            <w:r>
              <w:rPr>
                <w:rFonts w:hint="eastAsia" w:ascii="宋体" w:hAnsi="宋体" w:eastAsia="宋体" w:cs="宋体"/>
                <w:color w:val="000000"/>
                <w:kern w:val="0"/>
                <w:sz w:val="24"/>
                <w:szCs w:val="24"/>
              </w:rPr>
              <w:t>，同步</w:t>
            </w:r>
            <w:r>
              <w:rPr>
                <w:rFonts w:ascii="宋体" w:hAnsi="宋体" w:eastAsia="宋体" w:cs="宋体"/>
                <w:color w:val="000000"/>
                <w:kern w:val="0"/>
                <w:sz w:val="24"/>
                <w:szCs w:val="24"/>
              </w:rPr>
              <w:t>组织架构、权限体系，同时可与微信端像通告、信息、审批等功能可应用，同时各种提醒也可以在微信端。</w:t>
            </w:r>
          </w:p>
        </w:tc>
        <w:tc>
          <w:tcPr>
            <w:tcW w:w="625" w:type="pct"/>
            <w:vMerge w:val="continue"/>
          </w:tcPr>
          <w:p w14:paraId="555A90F6">
            <w:pPr>
              <w:widowControl/>
              <w:jc w:val="left"/>
              <w:rPr>
                <w:rFonts w:hint="eastAsia" w:ascii="宋体" w:hAnsi="宋体" w:eastAsia="宋体" w:cs="宋体"/>
                <w:color w:val="000000"/>
                <w:kern w:val="0"/>
                <w:sz w:val="24"/>
                <w:szCs w:val="24"/>
              </w:rPr>
            </w:pPr>
          </w:p>
        </w:tc>
        <w:tc>
          <w:tcPr>
            <w:tcW w:w="645" w:type="pct"/>
            <w:vMerge w:val="continue"/>
          </w:tcPr>
          <w:p w14:paraId="0E8BDED3">
            <w:pPr>
              <w:widowControl/>
              <w:jc w:val="left"/>
              <w:rPr>
                <w:rFonts w:hint="eastAsia" w:ascii="宋体" w:hAnsi="宋体" w:eastAsia="宋体" w:cs="宋体"/>
                <w:color w:val="000000"/>
                <w:kern w:val="0"/>
                <w:sz w:val="24"/>
                <w:szCs w:val="24"/>
              </w:rPr>
            </w:pPr>
          </w:p>
        </w:tc>
      </w:tr>
      <w:tr w14:paraId="7F97C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300" w:type="pct"/>
            <w:vMerge w:val="continue"/>
          </w:tcPr>
          <w:p w14:paraId="66AF195C">
            <w:pPr>
              <w:widowControl/>
              <w:jc w:val="center"/>
              <w:rPr>
                <w:rFonts w:ascii="宋体" w:hAnsi="宋体" w:eastAsia="宋体" w:cs="宋体"/>
                <w:color w:val="000000"/>
                <w:kern w:val="0"/>
                <w:sz w:val="24"/>
                <w:szCs w:val="24"/>
              </w:rPr>
            </w:pPr>
          </w:p>
        </w:tc>
        <w:tc>
          <w:tcPr>
            <w:tcW w:w="512" w:type="pct"/>
            <w:vMerge w:val="continue"/>
            <w:noWrap/>
          </w:tcPr>
          <w:p w14:paraId="1E62E36C">
            <w:pPr>
              <w:widowControl/>
              <w:jc w:val="center"/>
              <w:rPr>
                <w:rFonts w:ascii="宋体" w:hAnsi="宋体" w:eastAsia="宋体" w:cs="宋体"/>
                <w:color w:val="000000"/>
                <w:kern w:val="0"/>
                <w:sz w:val="24"/>
                <w:szCs w:val="24"/>
              </w:rPr>
            </w:pPr>
          </w:p>
        </w:tc>
        <w:tc>
          <w:tcPr>
            <w:tcW w:w="540" w:type="pct"/>
            <w:vAlign w:val="center"/>
          </w:tcPr>
          <w:p w14:paraId="03C9D360">
            <w:pPr>
              <w:widowControl/>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Ai</w:t>
            </w:r>
          </w:p>
        </w:tc>
        <w:tc>
          <w:tcPr>
            <w:tcW w:w="2375" w:type="pct"/>
            <w:gridSpan w:val="3"/>
          </w:tcPr>
          <w:p w14:paraId="13448BB6">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提供与</w:t>
            </w:r>
            <w:r>
              <w:rPr>
                <w:rFonts w:ascii="宋体" w:hAnsi="宋体" w:eastAsia="宋体" w:cs="宋体"/>
                <w:color w:val="000000"/>
                <w:kern w:val="0"/>
                <w:sz w:val="24"/>
                <w:szCs w:val="24"/>
              </w:rPr>
              <w:t>DeepSee</w:t>
            </w:r>
            <w:r>
              <w:rPr>
                <w:rFonts w:hint="eastAsia" w:ascii="宋体" w:hAnsi="宋体" w:eastAsia="宋体" w:cs="宋体"/>
                <w:color w:val="000000"/>
                <w:kern w:val="0"/>
                <w:sz w:val="24"/>
                <w:szCs w:val="24"/>
              </w:rPr>
              <w:t>k 对接，在OA上提供入口，提供OA在线的DeepSeekV1.2服务。</w:t>
            </w:r>
            <w:r>
              <w:rPr>
                <w:rFonts w:hint="eastAsia" w:ascii="宋体" w:hAnsi="宋体" w:eastAsia="宋体" w:cs="宋体"/>
                <w:color w:val="000000" w:themeColor="text1"/>
                <w:kern w:val="0"/>
                <w:sz w:val="24"/>
                <w:szCs w:val="24"/>
                <w14:textFill>
                  <w14:solidFill>
                    <w14:schemeClr w14:val="tx1"/>
                  </w14:solidFill>
                </w14:textFill>
              </w:rPr>
              <w:t>提供辅助建设医院智能体的服务，完成医院智能体建设。</w:t>
            </w:r>
          </w:p>
          <w:p w14:paraId="7A7A6635">
            <w:pPr>
              <w:widowControl/>
              <w:jc w:val="left"/>
              <w:rPr>
                <w:rFonts w:ascii="宋体" w:hAnsi="宋体" w:eastAsia="宋体" w:cs="宋体"/>
                <w:color w:val="000000"/>
                <w:kern w:val="0"/>
                <w:sz w:val="24"/>
                <w:szCs w:val="24"/>
              </w:rPr>
            </w:pPr>
            <w:r>
              <w:rPr>
                <w:rFonts w:ascii="宋体" w:hAnsi="宋体" w:eastAsia="宋体" w:cs="宋体"/>
                <w:color w:val="000000"/>
                <w:kern w:val="0"/>
                <w:sz w:val="24"/>
                <w:szCs w:val="24"/>
              </w:rPr>
              <w:t>提供多种</w:t>
            </w:r>
            <w:r>
              <w:rPr>
                <w:rFonts w:hint="eastAsia" w:ascii="宋体" w:hAnsi="宋体" w:eastAsia="宋体" w:cs="宋体"/>
                <w:color w:val="000000"/>
                <w:kern w:val="0"/>
                <w:sz w:val="24"/>
                <w:szCs w:val="24"/>
              </w:rPr>
              <w:t xml:space="preserve">DeepSeek </w:t>
            </w:r>
            <w:r>
              <w:rPr>
                <w:rFonts w:ascii="宋体" w:hAnsi="宋体" w:eastAsia="宋体" w:cs="宋体"/>
                <w:color w:val="000000"/>
                <w:kern w:val="0"/>
                <w:sz w:val="24"/>
                <w:szCs w:val="24"/>
              </w:rPr>
              <w:t>AI功能，包括智能问答、智能搜索、智能审批和智能摘要等</w:t>
            </w:r>
            <w:r>
              <w:rPr>
                <w:rFonts w:hint="eastAsia" w:ascii="宋体" w:hAnsi="宋体" w:eastAsia="宋体" w:cs="宋体"/>
                <w:color w:val="000000"/>
                <w:kern w:val="0"/>
                <w:sz w:val="24"/>
                <w:szCs w:val="24"/>
              </w:rPr>
              <w:t>。比如：智能审批提供在提交业务流程申请时，可以将之前申请同类流程数据提取成列表，供参考。同时在审核时，领导也可以看到此类流程申请审核的历史数据，起到智能辅助审核决策作用。</w:t>
            </w:r>
          </w:p>
        </w:tc>
        <w:tc>
          <w:tcPr>
            <w:tcW w:w="625" w:type="pct"/>
            <w:vMerge w:val="continue"/>
          </w:tcPr>
          <w:p w14:paraId="4E495473">
            <w:pPr>
              <w:widowControl/>
              <w:jc w:val="left"/>
              <w:rPr>
                <w:rFonts w:ascii="宋体" w:hAnsi="宋体" w:eastAsia="宋体" w:cs="宋体"/>
                <w:color w:val="000000"/>
                <w:kern w:val="0"/>
                <w:sz w:val="24"/>
                <w:szCs w:val="24"/>
              </w:rPr>
            </w:pPr>
          </w:p>
        </w:tc>
        <w:tc>
          <w:tcPr>
            <w:tcW w:w="645" w:type="pct"/>
            <w:vMerge w:val="continue"/>
          </w:tcPr>
          <w:p w14:paraId="20FE14D6">
            <w:pPr>
              <w:widowControl/>
              <w:jc w:val="left"/>
              <w:rPr>
                <w:rFonts w:ascii="宋体" w:hAnsi="宋体" w:eastAsia="宋体" w:cs="宋体"/>
                <w:color w:val="000000"/>
                <w:kern w:val="0"/>
                <w:sz w:val="24"/>
                <w:szCs w:val="24"/>
              </w:rPr>
            </w:pPr>
          </w:p>
        </w:tc>
      </w:tr>
      <w:tr w14:paraId="7D1D4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300" w:type="pct"/>
            <w:vMerge w:val="continue"/>
          </w:tcPr>
          <w:p w14:paraId="726C53ED">
            <w:pPr>
              <w:widowControl/>
              <w:jc w:val="center"/>
              <w:rPr>
                <w:rFonts w:ascii="宋体" w:hAnsi="宋体" w:eastAsia="宋体" w:cs="宋体"/>
                <w:color w:val="000000"/>
                <w:kern w:val="0"/>
                <w:sz w:val="24"/>
                <w:szCs w:val="24"/>
              </w:rPr>
            </w:pPr>
          </w:p>
        </w:tc>
        <w:tc>
          <w:tcPr>
            <w:tcW w:w="512" w:type="pct"/>
            <w:vMerge w:val="continue"/>
            <w:noWrap/>
          </w:tcPr>
          <w:p w14:paraId="27E7DC29">
            <w:pPr>
              <w:widowControl/>
              <w:jc w:val="center"/>
              <w:rPr>
                <w:rFonts w:ascii="宋体" w:hAnsi="宋体" w:eastAsia="宋体" w:cs="宋体"/>
                <w:color w:val="000000"/>
                <w:kern w:val="0"/>
                <w:sz w:val="24"/>
                <w:szCs w:val="24"/>
              </w:rPr>
            </w:pPr>
          </w:p>
        </w:tc>
        <w:tc>
          <w:tcPr>
            <w:tcW w:w="540" w:type="pct"/>
            <w:vAlign w:val="center"/>
          </w:tcPr>
          <w:p w14:paraId="127CF9BC">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线上廉洁承诺</w:t>
            </w:r>
          </w:p>
        </w:tc>
        <w:tc>
          <w:tcPr>
            <w:tcW w:w="2375" w:type="pct"/>
            <w:gridSpan w:val="3"/>
          </w:tcPr>
          <w:p w14:paraId="2602ACC0">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线上廉洁承诺书、责任书签订，签订文档自动留存。可以清楚地看到各科室的签订情况，【查看承诺书】中可以根据科室、日期来进行筛选、查看已签署人员的线上签名。可导出廉洁承诺书、责任书打印。</w:t>
            </w:r>
          </w:p>
        </w:tc>
        <w:tc>
          <w:tcPr>
            <w:tcW w:w="625" w:type="pct"/>
            <w:vMerge w:val="continue"/>
          </w:tcPr>
          <w:p w14:paraId="329CD1DD">
            <w:pPr>
              <w:widowControl/>
              <w:jc w:val="left"/>
              <w:rPr>
                <w:rFonts w:hint="eastAsia" w:ascii="宋体" w:hAnsi="宋体" w:eastAsia="宋体" w:cs="宋体"/>
                <w:color w:val="000000"/>
                <w:kern w:val="0"/>
                <w:sz w:val="24"/>
                <w:szCs w:val="24"/>
              </w:rPr>
            </w:pPr>
          </w:p>
        </w:tc>
        <w:tc>
          <w:tcPr>
            <w:tcW w:w="645" w:type="pct"/>
            <w:vMerge w:val="continue"/>
          </w:tcPr>
          <w:p w14:paraId="04D28194">
            <w:pPr>
              <w:widowControl/>
              <w:jc w:val="left"/>
              <w:rPr>
                <w:rFonts w:hint="eastAsia" w:ascii="宋体" w:hAnsi="宋体" w:eastAsia="宋体" w:cs="宋体"/>
                <w:color w:val="000000"/>
                <w:kern w:val="0"/>
                <w:sz w:val="24"/>
                <w:szCs w:val="24"/>
              </w:rPr>
            </w:pPr>
          </w:p>
        </w:tc>
      </w:tr>
      <w:tr w14:paraId="45DC5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300" w:type="pct"/>
            <w:vMerge w:val="continue"/>
          </w:tcPr>
          <w:p w14:paraId="3E142767">
            <w:pPr>
              <w:widowControl/>
              <w:jc w:val="center"/>
              <w:rPr>
                <w:rFonts w:ascii="宋体" w:hAnsi="宋体" w:eastAsia="宋体" w:cs="宋体"/>
                <w:color w:val="000000"/>
                <w:kern w:val="0"/>
                <w:sz w:val="24"/>
                <w:szCs w:val="24"/>
              </w:rPr>
            </w:pPr>
          </w:p>
        </w:tc>
        <w:tc>
          <w:tcPr>
            <w:tcW w:w="512" w:type="pct"/>
            <w:vMerge w:val="continue"/>
            <w:noWrap/>
          </w:tcPr>
          <w:p w14:paraId="1D2E2C52">
            <w:pPr>
              <w:widowControl/>
              <w:jc w:val="center"/>
              <w:rPr>
                <w:rFonts w:ascii="宋体" w:hAnsi="宋体" w:eastAsia="宋体" w:cs="宋体"/>
                <w:color w:val="000000"/>
                <w:kern w:val="0"/>
                <w:sz w:val="24"/>
                <w:szCs w:val="24"/>
              </w:rPr>
            </w:pPr>
          </w:p>
        </w:tc>
        <w:tc>
          <w:tcPr>
            <w:tcW w:w="540" w:type="pct"/>
            <w:vAlign w:val="center"/>
          </w:tcPr>
          <w:p w14:paraId="6BCA8F56">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拒收‘红包’电子档案</w:t>
            </w:r>
          </w:p>
        </w:tc>
        <w:tc>
          <w:tcPr>
            <w:tcW w:w="2375" w:type="pct"/>
            <w:gridSpan w:val="3"/>
          </w:tcPr>
          <w:p w14:paraId="4BE9F611">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拒收“红包”，收到锦旗、表扬信、荣誉及处罚情况进行电子化档案管理。</w:t>
            </w:r>
          </w:p>
        </w:tc>
        <w:tc>
          <w:tcPr>
            <w:tcW w:w="625" w:type="pct"/>
            <w:vMerge w:val="continue"/>
          </w:tcPr>
          <w:p w14:paraId="7D40B18A">
            <w:pPr>
              <w:widowControl/>
              <w:jc w:val="left"/>
              <w:rPr>
                <w:rFonts w:hint="eastAsia" w:ascii="宋体" w:hAnsi="宋体" w:eastAsia="宋体" w:cs="宋体"/>
                <w:color w:val="000000"/>
                <w:kern w:val="0"/>
                <w:sz w:val="24"/>
                <w:szCs w:val="24"/>
              </w:rPr>
            </w:pPr>
          </w:p>
        </w:tc>
        <w:tc>
          <w:tcPr>
            <w:tcW w:w="645" w:type="pct"/>
            <w:vMerge w:val="continue"/>
          </w:tcPr>
          <w:p w14:paraId="3E998B2A">
            <w:pPr>
              <w:widowControl/>
              <w:jc w:val="left"/>
              <w:rPr>
                <w:rFonts w:hint="eastAsia" w:ascii="宋体" w:hAnsi="宋体" w:eastAsia="宋体" w:cs="宋体"/>
                <w:color w:val="000000"/>
                <w:kern w:val="0"/>
                <w:sz w:val="24"/>
                <w:szCs w:val="24"/>
              </w:rPr>
            </w:pPr>
          </w:p>
        </w:tc>
      </w:tr>
      <w:tr w14:paraId="44F17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300" w:type="pct"/>
            <w:vMerge w:val="continue"/>
          </w:tcPr>
          <w:p w14:paraId="3989EF68">
            <w:pPr>
              <w:widowControl/>
              <w:jc w:val="center"/>
              <w:rPr>
                <w:rFonts w:ascii="宋体" w:hAnsi="宋体" w:eastAsia="宋体" w:cs="宋体"/>
                <w:color w:val="000000"/>
                <w:kern w:val="0"/>
                <w:sz w:val="24"/>
                <w:szCs w:val="24"/>
              </w:rPr>
            </w:pPr>
          </w:p>
        </w:tc>
        <w:tc>
          <w:tcPr>
            <w:tcW w:w="512" w:type="pct"/>
            <w:vMerge w:val="continue"/>
            <w:noWrap/>
          </w:tcPr>
          <w:p w14:paraId="669B14B3">
            <w:pPr>
              <w:widowControl/>
              <w:jc w:val="center"/>
              <w:rPr>
                <w:rFonts w:ascii="宋体" w:hAnsi="宋体" w:eastAsia="宋体" w:cs="宋体"/>
                <w:color w:val="000000"/>
                <w:kern w:val="0"/>
                <w:sz w:val="24"/>
                <w:szCs w:val="24"/>
              </w:rPr>
            </w:pPr>
          </w:p>
        </w:tc>
        <w:tc>
          <w:tcPr>
            <w:tcW w:w="540" w:type="pct"/>
            <w:vAlign w:val="center"/>
          </w:tcPr>
          <w:p w14:paraId="5E409E73">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医德医风考评</w:t>
            </w:r>
          </w:p>
        </w:tc>
        <w:tc>
          <w:tcPr>
            <w:tcW w:w="2375" w:type="pct"/>
            <w:gridSpan w:val="3"/>
          </w:tcPr>
          <w:p w14:paraId="01A4AEC9">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实现医德医风考评自我评价、科室评价、医院评价流程，考评标准可关联职工上传的医德医风档案，自动统计最终分数，考评完成可导出打印各职工考评档案结果。</w:t>
            </w:r>
          </w:p>
        </w:tc>
        <w:tc>
          <w:tcPr>
            <w:tcW w:w="625" w:type="pct"/>
            <w:vMerge w:val="continue"/>
          </w:tcPr>
          <w:p w14:paraId="73BB1172">
            <w:pPr>
              <w:widowControl/>
              <w:jc w:val="left"/>
              <w:rPr>
                <w:rFonts w:hint="eastAsia" w:ascii="宋体" w:hAnsi="宋体" w:eastAsia="宋体" w:cs="宋体"/>
                <w:color w:val="000000"/>
                <w:kern w:val="0"/>
                <w:sz w:val="24"/>
                <w:szCs w:val="24"/>
              </w:rPr>
            </w:pPr>
          </w:p>
        </w:tc>
        <w:tc>
          <w:tcPr>
            <w:tcW w:w="645" w:type="pct"/>
            <w:vMerge w:val="continue"/>
          </w:tcPr>
          <w:p w14:paraId="1A679675">
            <w:pPr>
              <w:widowControl/>
              <w:jc w:val="left"/>
              <w:rPr>
                <w:rFonts w:hint="eastAsia" w:ascii="宋体" w:hAnsi="宋体" w:eastAsia="宋体" w:cs="宋体"/>
                <w:color w:val="000000"/>
                <w:kern w:val="0"/>
                <w:sz w:val="24"/>
                <w:szCs w:val="24"/>
              </w:rPr>
            </w:pPr>
          </w:p>
        </w:tc>
      </w:tr>
      <w:tr w14:paraId="5C7DF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300" w:type="pct"/>
            <w:vMerge w:val="continue"/>
          </w:tcPr>
          <w:p w14:paraId="4236D343">
            <w:pPr>
              <w:widowControl/>
              <w:jc w:val="center"/>
              <w:rPr>
                <w:rFonts w:ascii="宋体" w:hAnsi="宋体" w:eastAsia="宋体" w:cs="宋体"/>
                <w:color w:val="000000"/>
                <w:kern w:val="0"/>
                <w:sz w:val="24"/>
                <w:szCs w:val="24"/>
              </w:rPr>
            </w:pPr>
          </w:p>
        </w:tc>
        <w:tc>
          <w:tcPr>
            <w:tcW w:w="512" w:type="pct"/>
            <w:vMerge w:val="continue"/>
            <w:noWrap/>
          </w:tcPr>
          <w:p w14:paraId="69B0B443">
            <w:pPr>
              <w:widowControl/>
              <w:jc w:val="center"/>
              <w:rPr>
                <w:rFonts w:ascii="宋体" w:hAnsi="宋体" w:eastAsia="宋体" w:cs="宋体"/>
                <w:color w:val="000000"/>
                <w:kern w:val="0"/>
                <w:sz w:val="24"/>
                <w:szCs w:val="24"/>
              </w:rPr>
            </w:pPr>
          </w:p>
        </w:tc>
        <w:tc>
          <w:tcPr>
            <w:tcW w:w="540" w:type="pct"/>
            <w:vAlign w:val="center"/>
          </w:tcPr>
          <w:p w14:paraId="47444F84">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谈话记录</w:t>
            </w:r>
          </w:p>
        </w:tc>
        <w:tc>
          <w:tcPr>
            <w:tcW w:w="2375" w:type="pct"/>
            <w:gridSpan w:val="3"/>
          </w:tcPr>
          <w:p w14:paraId="0481DFDE">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谈话提醒，提醒谈话、日常谈话、警诚谈话的线上记录、保存、打印、统计。可线上签名，导出打印。</w:t>
            </w:r>
          </w:p>
        </w:tc>
        <w:tc>
          <w:tcPr>
            <w:tcW w:w="625" w:type="pct"/>
            <w:vMerge w:val="continue"/>
          </w:tcPr>
          <w:p w14:paraId="12E0A68A">
            <w:pPr>
              <w:widowControl/>
              <w:jc w:val="left"/>
              <w:rPr>
                <w:rFonts w:hint="eastAsia" w:ascii="宋体" w:hAnsi="宋体" w:eastAsia="宋体" w:cs="宋体"/>
                <w:color w:val="000000"/>
                <w:kern w:val="0"/>
                <w:sz w:val="24"/>
                <w:szCs w:val="24"/>
              </w:rPr>
            </w:pPr>
          </w:p>
        </w:tc>
        <w:tc>
          <w:tcPr>
            <w:tcW w:w="645" w:type="pct"/>
            <w:vMerge w:val="continue"/>
          </w:tcPr>
          <w:p w14:paraId="67B61156">
            <w:pPr>
              <w:widowControl/>
              <w:jc w:val="left"/>
              <w:rPr>
                <w:rFonts w:hint="eastAsia" w:ascii="宋体" w:hAnsi="宋体" w:eastAsia="宋体" w:cs="宋体"/>
                <w:color w:val="000000"/>
                <w:kern w:val="0"/>
                <w:sz w:val="24"/>
                <w:szCs w:val="24"/>
              </w:rPr>
            </w:pPr>
          </w:p>
        </w:tc>
      </w:tr>
      <w:tr w14:paraId="17706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300" w:type="pct"/>
            <w:vMerge w:val="continue"/>
          </w:tcPr>
          <w:p w14:paraId="1CDC0EE3">
            <w:pPr>
              <w:widowControl/>
              <w:jc w:val="center"/>
              <w:rPr>
                <w:rFonts w:ascii="宋体" w:hAnsi="宋体" w:eastAsia="宋体" w:cs="宋体"/>
                <w:color w:val="000000"/>
                <w:kern w:val="0"/>
                <w:sz w:val="24"/>
                <w:szCs w:val="24"/>
              </w:rPr>
            </w:pPr>
          </w:p>
        </w:tc>
        <w:tc>
          <w:tcPr>
            <w:tcW w:w="512" w:type="pct"/>
            <w:vMerge w:val="continue"/>
            <w:noWrap/>
          </w:tcPr>
          <w:p w14:paraId="7D905FA6">
            <w:pPr>
              <w:widowControl/>
              <w:jc w:val="center"/>
              <w:rPr>
                <w:rFonts w:ascii="宋体" w:hAnsi="宋体" w:eastAsia="宋体" w:cs="宋体"/>
                <w:color w:val="000000"/>
                <w:kern w:val="0"/>
                <w:sz w:val="24"/>
                <w:szCs w:val="24"/>
              </w:rPr>
            </w:pPr>
          </w:p>
        </w:tc>
        <w:tc>
          <w:tcPr>
            <w:tcW w:w="540" w:type="pct"/>
            <w:vAlign w:val="center"/>
          </w:tcPr>
          <w:p w14:paraId="5589501D">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投诉纠纷记录</w:t>
            </w:r>
          </w:p>
        </w:tc>
        <w:tc>
          <w:tcPr>
            <w:tcW w:w="2375" w:type="pct"/>
            <w:gridSpan w:val="3"/>
          </w:tcPr>
          <w:p w14:paraId="7B351975">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记录投诉纠纷事件及处理结果，自动统计涉及投诉或纠纷的科室、个人，关联医德考评标准，自动统计分数。可导出打印。</w:t>
            </w:r>
          </w:p>
        </w:tc>
        <w:tc>
          <w:tcPr>
            <w:tcW w:w="625" w:type="pct"/>
            <w:vMerge w:val="continue"/>
          </w:tcPr>
          <w:p w14:paraId="5F9EE53E">
            <w:pPr>
              <w:widowControl/>
              <w:jc w:val="left"/>
              <w:rPr>
                <w:rFonts w:hint="eastAsia" w:ascii="宋体" w:hAnsi="宋体" w:eastAsia="宋体" w:cs="宋体"/>
                <w:color w:val="000000"/>
                <w:kern w:val="0"/>
                <w:sz w:val="24"/>
                <w:szCs w:val="24"/>
              </w:rPr>
            </w:pPr>
          </w:p>
        </w:tc>
        <w:tc>
          <w:tcPr>
            <w:tcW w:w="645" w:type="pct"/>
            <w:vMerge w:val="continue"/>
          </w:tcPr>
          <w:p w14:paraId="284D643C">
            <w:pPr>
              <w:widowControl/>
              <w:jc w:val="left"/>
              <w:rPr>
                <w:rFonts w:hint="eastAsia" w:ascii="宋体" w:hAnsi="宋体" w:eastAsia="宋体" w:cs="宋体"/>
                <w:color w:val="000000"/>
                <w:kern w:val="0"/>
                <w:sz w:val="24"/>
                <w:szCs w:val="24"/>
              </w:rPr>
            </w:pPr>
          </w:p>
        </w:tc>
      </w:tr>
      <w:tr w14:paraId="0DF00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300" w:type="pct"/>
            <w:vMerge w:val="continue"/>
          </w:tcPr>
          <w:p w14:paraId="4CEA574A">
            <w:pPr>
              <w:widowControl/>
              <w:jc w:val="center"/>
              <w:rPr>
                <w:rFonts w:ascii="宋体" w:hAnsi="宋体" w:eastAsia="宋体" w:cs="宋体"/>
                <w:color w:val="000000"/>
                <w:kern w:val="0"/>
                <w:sz w:val="24"/>
                <w:szCs w:val="24"/>
              </w:rPr>
            </w:pPr>
          </w:p>
        </w:tc>
        <w:tc>
          <w:tcPr>
            <w:tcW w:w="512" w:type="pct"/>
            <w:vMerge w:val="continue"/>
            <w:noWrap/>
          </w:tcPr>
          <w:p w14:paraId="7B55E681">
            <w:pPr>
              <w:widowControl/>
              <w:jc w:val="center"/>
              <w:rPr>
                <w:rFonts w:ascii="宋体" w:hAnsi="宋体" w:eastAsia="宋体" w:cs="宋体"/>
                <w:color w:val="000000"/>
                <w:kern w:val="0"/>
                <w:sz w:val="24"/>
                <w:szCs w:val="24"/>
              </w:rPr>
            </w:pPr>
          </w:p>
        </w:tc>
        <w:tc>
          <w:tcPr>
            <w:tcW w:w="540" w:type="pct"/>
            <w:vAlign w:val="center"/>
          </w:tcPr>
          <w:p w14:paraId="739300FE">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电子廉政档案</w:t>
            </w:r>
          </w:p>
        </w:tc>
        <w:tc>
          <w:tcPr>
            <w:tcW w:w="2375" w:type="pct"/>
            <w:gridSpan w:val="3"/>
          </w:tcPr>
          <w:p w14:paraId="6BBC6FF7">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实现个人基本信息、廉洁自律情况、家庭成员和亲属信息、信访反映、组织处理、党纪政务处分、个人事项报告、个人财产信息登记、文件的存取与分级管理。</w:t>
            </w:r>
          </w:p>
        </w:tc>
        <w:tc>
          <w:tcPr>
            <w:tcW w:w="625" w:type="pct"/>
            <w:vMerge w:val="continue"/>
          </w:tcPr>
          <w:p w14:paraId="6FD5667B">
            <w:pPr>
              <w:widowControl/>
              <w:jc w:val="left"/>
              <w:rPr>
                <w:rFonts w:hint="eastAsia" w:ascii="宋体" w:hAnsi="宋体" w:eastAsia="宋体" w:cs="宋体"/>
                <w:color w:val="000000"/>
                <w:kern w:val="0"/>
                <w:sz w:val="24"/>
                <w:szCs w:val="24"/>
              </w:rPr>
            </w:pPr>
          </w:p>
        </w:tc>
        <w:tc>
          <w:tcPr>
            <w:tcW w:w="645" w:type="pct"/>
            <w:vMerge w:val="continue"/>
          </w:tcPr>
          <w:p w14:paraId="35668167">
            <w:pPr>
              <w:widowControl/>
              <w:jc w:val="left"/>
              <w:rPr>
                <w:rFonts w:hint="eastAsia" w:ascii="宋体" w:hAnsi="宋体" w:eastAsia="宋体" w:cs="宋体"/>
                <w:color w:val="000000"/>
                <w:kern w:val="0"/>
                <w:sz w:val="24"/>
                <w:szCs w:val="24"/>
              </w:rPr>
            </w:pPr>
          </w:p>
        </w:tc>
      </w:tr>
      <w:tr w14:paraId="456B1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300" w:type="pct"/>
            <w:vMerge w:val="continue"/>
          </w:tcPr>
          <w:p w14:paraId="053433C3">
            <w:pPr>
              <w:widowControl/>
              <w:jc w:val="center"/>
              <w:rPr>
                <w:rFonts w:ascii="宋体" w:hAnsi="宋体" w:eastAsia="宋体" w:cs="宋体"/>
                <w:color w:val="000000"/>
                <w:kern w:val="0"/>
                <w:sz w:val="24"/>
                <w:szCs w:val="24"/>
              </w:rPr>
            </w:pPr>
          </w:p>
        </w:tc>
        <w:tc>
          <w:tcPr>
            <w:tcW w:w="512" w:type="pct"/>
            <w:vMerge w:val="continue"/>
            <w:noWrap/>
          </w:tcPr>
          <w:p w14:paraId="5B61E70E">
            <w:pPr>
              <w:widowControl/>
              <w:jc w:val="center"/>
              <w:rPr>
                <w:rFonts w:ascii="宋体" w:hAnsi="宋体" w:eastAsia="宋体" w:cs="宋体"/>
                <w:color w:val="000000"/>
                <w:kern w:val="0"/>
                <w:sz w:val="24"/>
                <w:szCs w:val="24"/>
              </w:rPr>
            </w:pPr>
          </w:p>
        </w:tc>
        <w:tc>
          <w:tcPr>
            <w:tcW w:w="540" w:type="pct"/>
            <w:vAlign w:val="center"/>
          </w:tcPr>
          <w:p w14:paraId="1CF30A09">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系统服务底座</w:t>
            </w:r>
          </w:p>
        </w:tc>
        <w:tc>
          <w:tcPr>
            <w:tcW w:w="2375" w:type="pct"/>
            <w:gridSpan w:val="3"/>
          </w:tcPr>
          <w:p w14:paraId="5B97B93C">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CPU: ≥2颗国产CPU,单颗≥32核，主频≥2.0GHz；</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内存: ≥32G*8；</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系统盘: ≥480GB SSD SATA 2.5in*2；</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数据盘: ≥10T HDD SATA 3.5in*2；</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阵列卡：≥RAID_12Gbps*1 2G缓存,支持RATD0/1/5；</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网卡：≥2GE口，≥2个万兆口；</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电源:≥1300W*2；</w:t>
            </w:r>
          </w:p>
        </w:tc>
        <w:tc>
          <w:tcPr>
            <w:tcW w:w="625" w:type="pct"/>
          </w:tcPr>
          <w:p w14:paraId="00AB3547">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1</w:t>
            </w:r>
          </w:p>
        </w:tc>
        <w:tc>
          <w:tcPr>
            <w:tcW w:w="645" w:type="pct"/>
          </w:tcPr>
          <w:p w14:paraId="14FCB897">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台</w:t>
            </w:r>
          </w:p>
        </w:tc>
      </w:tr>
      <w:tr w14:paraId="44C60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300" w:type="pct"/>
          </w:tcPr>
          <w:p w14:paraId="6EEE6C19">
            <w:pPr>
              <w:widowControl/>
              <w:jc w:val="center"/>
              <w:rPr>
                <w:rFonts w:hint="eastAsia" w:ascii="宋体" w:hAnsi="宋体" w:eastAsia="宋体" w:cs="宋体"/>
                <w:color w:val="000000"/>
                <w:kern w:val="0"/>
                <w:sz w:val="24"/>
                <w:szCs w:val="24"/>
              </w:rPr>
            </w:pPr>
          </w:p>
        </w:tc>
        <w:tc>
          <w:tcPr>
            <w:tcW w:w="512" w:type="pct"/>
            <w:noWrap/>
            <w:vAlign w:val="center"/>
          </w:tcPr>
          <w:p w14:paraId="09F6693E">
            <w:pPr>
              <w:widowControl/>
              <w:jc w:val="left"/>
              <w:rPr>
                <w:rFonts w:hint="eastAsia" w:ascii="宋体" w:hAnsi="宋体" w:eastAsia="宋体" w:cs="宋体"/>
                <w:color w:val="000000"/>
                <w:kern w:val="0"/>
                <w:sz w:val="24"/>
                <w:szCs w:val="24"/>
              </w:rPr>
            </w:pPr>
          </w:p>
        </w:tc>
        <w:tc>
          <w:tcPr>
            <w:tcW w:w="2916" w:type="pct"/>
            <w:gridSpan w:val="4"/>
            <w:vAlign w:val="center"/>
          </w:tcPr>
          <w:p w14:paraId="4E71DBF3">
            <w:pPr>
              <w:widowControl/>
              <w:jc w:val="center"/>
              <w:rPr>
                <w:rFonts w:hint="eastAsia" w:ascii="宋体" w:hAnsi="宋体" w:eastAsia="宋体" w:cs="宋体"/>
                <w:color w:val="000000"/>
                <w:kern w:val="0"/>
                <w:sz w:val="24"/>
                <w:szCs w:val="24"/>
              </w:rPr>
            </w:pPr>
          </w:p>
        </w:tc>
        <w:tc>
          <w:tcPr>
            <w:tcW w:w="625" w:type="pct"/>
            <w:vAlign w:val="center"/>
          </w:tcPr>
          <w:p w14:paraId="1321D9C6">
            <w:pPr>
              <w:widowControl/>
              <w:jc w:val="left"/>
              <w:rPr>
                <w:rFonts w:hint="eastAsia" w:ascii="宋体" w:hAnsi="宋体" w:eastAsia="宋体" w:cs="宋体"/>
                <w:color w:val="000000"/>
                <w:kern w:val="0"/>
                <w:sz w:val="24"/>
                <w:szCs w:val="24"/>
                <w:lang w:val="en-US" w:eastAsia="zh-CN"/>
              </w:rPr>
            </w:pPr>
          </w:p>
        </w:tc>
        <w:tc>
          <w:tcPr>
            <w:tcW w:w="645" w:type="pct"/>
            <w:vAlign w:val="center"/>
          </w:tcPr>
          <w:p w14:paraId="033DF647">
            <w:pPr>
              <w:widowControl/>
              <w:jc w:val="left"/>
              <w:rPr>
                <w:rFonts w:hint="eastAsia" w:ascii="宋体" w:hAnsi="宋体" w:eastAsia="宋体" w:cs="宋体"/>
                <w:color w:val="000000"/>
                <w:kern w:val="0"/>
                <w:sz w:val="24"/>
                <w:szCs w:val="24"/>
                <w:lang w:val="en-US" w:eastAsia="zh-CN"/>
              </w:rPr>
            </w:pPr>
          </w:p>
        </w:tc>
      </w:tr>
      <w:tr w14:paraId="05227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5000" w:type="pct"/>
            <w:gridSpan w:val="8"/>
            <w:vAlign w:val="center"/>
          </w:tcPr>
          <w:p w14:paraId="7AB819C7">
            <w:pPr>
              <w:widowControl/>
              <w:jc w:val="center"/>
              <w:rPr>
                <w:rFonts w:hint="eastAsia" w:ascii="宋体" w:hAnsi="宋体" w:eastAsia="宋体" w:cs="宋体"/>
                <w:color w:val="000000"/>
                <w:kern w:val="0"/>
                <w:sz w:val="24"/>
                <w:szCs w:val="24"/>
                <w:lang w:val="en-US" w:eastAsia="zh-CN"/>
              </w:rPr>
            </w:pPr>
            <w:r>
              <w:rPr>
                <w:rFonts w:hint="eastAsia" w:ascii="宋体" w:hAnsi="宋体" w:eastAsia="宋体" w:cs="宋体"/>
                <w:b/>
                <w:bCs/>
                <w:kern w:val="0"/>
                <w:sz w:val="24"/>
                <w:szCs w:val="24"/>
                <w:lang w:val="en-US" w:eastAsia="zh-CN"/>
              </w:rPr>
              <w:t>医院私有云电脑系统建设</w:t>
            </w:r>
          </w:p>
        </w:tc>
      </w:tr>
      <w:tr w14:paraId="2F2B8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300" w:type="pct"/>
            <w:vMerge w:val="restart"/>
          </w:tcPr>
          <w:p w14:paraId="30F9BBCF">
            <w:pPr>
              <w:widowControl/>
              <w:jc w:val="center"/>
              <w:rPr>
                <w:rFonts w:hint="eastAsia" w:ascii="宋体" w:hAnsi="宋体" w:eastAsia="宋体" w:cs="宋体"/>
                <w:color w:val="000000"/>
                <w:kern w:val="0"/>
                <w:sz w:val="24"/>
                <w:lang w:eastAsia="zh-CN"/>
              </w:rPr>
            </w:pPr>
            <w:r>
              <w:rPr>
                <w:rFonts w:hint="eastAsia" w:ascii="宋体" w:hAnsi="宋体" w:eastAsia="宋体" w:cs="宋体"/>
                <w:color w:val="000000"/>
                <w:kern w:val="0"/>
                <w:sz w:val="24"/>
                <w:lang w:val="en-US" w:eastAsia="zh-CN"/>
              </w:rPr>
              <w:t>1</w:t>
            </w:r>
          </w:p>
        </w:tc>
        <w:tc>
          <w:tcPr>
            <w:tcW w:w="512" w:type="pct"/>
            <w:vMerge w:val="restart"/>
            <w:noWrap/>
            <w:vAlign w:val="center"/>
          </w:tcPr>
          <w:p w14:paraId="4D8BC0A2">
            <w:pPr>
              <w:widowControl/>
              <w:jc w:val="center"/>
              <w:rPr>
                <w:rFonts w:hint="eastAsia" w:ascii="宋体" w:hAnsi="宋体" w:eastAsia="宋体" w:cs="宋体"/>
                <w:color w:val="000000"/>
                <w:kern w:val="0"/>
                <w:sz w:val="24"/>
                <w:szCs w:val="24"/>
              </w:rPr>
            </w:pPr>
            <w:r>
              <w:rPr>
                <w:rFonts w:hint="eastAsia" w:ascii="宋体" w:hAnsi="宋体" w:eastAsia="宋体" w:cs="宋体"/>
                <w:b/>
                <w:bCs/>
                <w:kern w:val="0"/>
                <w:sz w:val="24"/>
                <w:szCs w:val="24"/>
                <w:lang w:val="en-US" w:eastAsia="zh-CN"/>
              </w:rPr>
              <w:t>云电脑虚拟系统</w:t>
            </w:r>
          </w:p>
        </w:tc>
        <w:tc>
          <w:tcPr>
            <w:tcW w:w="571" w:type="pct"/>
            <w:gridSpan w:val="2"/>
            <w:vAlign w:val="center"/>
          </w:tcPr>
          <w:p w14:paraId="38787B35">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桌面云一体机</w:t>
            </w:r>
          </w:p>
        </w:tc>
        <w:tc>
          <w:tcPr>
            <w:tcW w:w="2344" w:type="pct"/>
            <w:gridSpan w:val="2"/>
            <w:vAlign w:val="top"/>
          </w:tcPr>
          <w:p w14:paraId="6B72B7C0">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CPU配置：≥20核；≥2.10GHz</w:t>
            </w:r>
          </w:p>
          <w:p w14:paraId="21E49CBE">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内存配置：≥32G×16</w:t>
            </w:r>
          </w:p>
          <w:p w14:paraId="46F86EEB">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公共配置：网卡:2×GE电+4×25G网卡</w:t>
            </w:r>
          </w:p>
          <w:p w14:paraId="0B51AFB3">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RAID卡：1×RAID卡+1×SAS直通卡</w:t>
            </w:r>
          </w:p>
          <w:p w14:paraId="266BA1CE">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存储配置：</w:t>
            </w:r>
          </w:p>
          <w:p w14:paraId="23B2FB09">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系统盘：≥2×480G SATA SSD;</w:t>
            </w:r>
          </w:p>
          <w:p w14:paraId="0EE6F06E">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数据盘：≥ 6×8TB SATA；</w:t>
            </w:r>
          </w:p>
          <w:p w14:paraId="434A2C57">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缓存盘：≥2×3.2TB SSD</w:t>
            </w:r>
          </w:p>
        </w:tc>
        <w:tc>
          <w:tcPr>
            <w:tcW w:w="625" w:type="pct"/>
          </w:tcPr>
          <w:p w14:paraId="3C6065BD">
            <w:pPr>
              <w:widowControl/>
              <w:jc w:val="left"/>
              <w:rPr>
                <w:rFonts w:hint="eastAsia" w:ascii="宋体" w:hAnsi="宋体" w:eastAsia="宋体" w:cs="宋体"/>
                <w:color w:val="000000"/>
                <w:kern w:val="0"/>
                <w:sz w:val="24"/>
                <w:lang w:val="en-US" w:eastAsia="zh-CN"/>
              </w:rPr>
            </w:pPr>
            <w:r>
              <w:rPr>
                <w:rFonts w:hint="eastAsia" w:ascii="宋体" w:hAnsi="宋体" w:eastAsia="宋体" w:cs="宋体"/>
                <w:color w:val="000000"/>
                <w:kern w:val="0"/>
                <w:sz w:val="24"/>
                <w:lang w:val="en-US" w:eastAsia="zh-CN"/>
              </w:rPr>
              <w:t>2</w:t>
            </w:r>
          </w:p>
        </w:tc>
        <w:tc>
          <w:tcPr>
            <w:tcW w:w="645" w:type="pct"/>
          </w:tcPr>
          <w:p w14:paraId="3931D5E1">
            <w:pPr>
              <w:widowControl/>
              <w:jc w:val="left"/>
              <w:rPr>
                <w:rFonts w:ascii="宋体" w:hAnsi="宋体" w:eastAsia="宋体" w:cs="宋体"/>
                <w:color w:val="000000"/>
                <w:kern w:val="0"/>
                <w:sz w:val="24"/>
              </w:rPr>
            </w:pPr>
            <w:r>
              <w:rPr>
                <w:rFonts w:hint="eastAsia" w:ascii="宋体" w:hAnsi="宋体" w:eastAsia="宋体" w:cs="宋体"/>
                <w:color w:val="000000"/>
                <w:kern w:val="0"/>
                <w:sz w:val="24"/>
                <w:szCs w:val="24"/>
                <w:lang w:val="en-US" w:eastAsia="zh-CN"/>
              </w:rPr>
              <w:t>台</w:t>
            </w:r>
          </w:p>
        </w:tc>
      </w:tr>
      <w:tr w14:paraId="4D2D4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300" w:type="pct"/>
            <w:vMerge w:val="continue"/>
          </w:tcPr>
          <w:p w14:paraId="5E980956">
            <w:pPr>
              <w:widowControl/>
              <w:jc w:val="center"/>
              <w:rPr>
                <w:rFonts w:ascii="宋体" w:hAnsi="宋体" w:eastAsia="宋体" w:cs="宋体"/>
                <w:color w:val="000000"/>
                <w:kern w:val="0"/>
                <w:sz w:val="24"/>
              </w:rPr>
            </w:pPr>
          </w:p>
        </w:tc>
        <w:tc>
          <w:tcPr>
            <w:tcW w:w="512" w:type="pct"/>
            <w:vMerge w:val="continue"/>
            <w:noWrap/>
            <w:vAlign w:val="top"/>
          </w:tcPr>
          <w:p w14:paraId="337B751F">
            <w:pPr>
              <w:widowControl/>
              <w:jc w:val="left"/>
              <w:rPr>
                <w:rFonts w:hint="eastAsia" w:ascii="宋体" w:hAnsi="宋体" w:eastAsia="宋体" w:cs="宋体"/>
                <w:color w:val="000000"/>
                <w:kern w:val="0"/>
                <w:sz w:val="24"/>
                <w:szCs w:val="24"/>
              </w:rPr>
            </w:pPr>
          </w:p>
        </w:tc>
        <w:tc>
          <w:tcPr>
            <w:tcW w:w="584" w:type="pct"/>
            <w:gridSpan w:val="3"/>
            <w:vAlign w:val="center"/>
          </w:tcPr>
          <w:p w14:paraId="0E8139B3">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桌面云交换机</w:t>
            </w:r>
          </w:p>
        </w:tc>
        <w:tc>
          <w:tcPr>
            <w:tcW w:w="2331" w:type="pct"/>
            <w:vAlign w:val="top"/>
          </w:tcPr>
          <w:p w14:paraId="61F5F54E">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支持三层功能和二层功能，支持内置双电源，支持VxLAN功能；</w:t>
            </w:r>
          </w:p>
          <w:p w14:paraId="10164DC1">
            <w:pPr>
              <w:widowControl/>
              <w:jc w:val="left"/>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rPr>
              <w:t>≥48*10GE+≥4*40GE(全光口</w:t>
            </w:r>
            <w:r>
              <w:rPr>
                <w:rFonts w:hint="eastAsia" w:ascii="宋体" w:hAnsi="宋体" w:eastAsia="宋体" w:cs="宋体"/>
                <w:color w:val="000000"/>
                <w:kern w:val="0"/>
                <w:sz w:val="24"/>
                <w:szCs w:val="24"/>
                <w:lang w:eastAsia="zh-CN"/>
              </w:rPr>
              <w:t>）</w:t>
            </w:r>
          </w:p>
        </w:tc>
        <w:tc>
          <w:tcPr>
            <w:tcW w:w="625" w:type="pct"/>
          </w:tcPr>
          <w:p w14:paraId="25D95552">
            <w:pPr>
              <w:widowControl/>
              <w:jc w:val="left"/>
              <w:rPr>
                <w:rFonts w:hint="eastAsia" w:ascii="宋体" w:hAnsi="宋体" w:eastAsia="宋体" w:cs="宋体"/>
                <w:color w:val="000000"/>
                <w:kern w:val="0"/>
                <w:sz w:val="24"/>
                <w:lang w:val="en-US" w:eastAsia="zh-CN"/>
              </w:rPr>
            </w:pPr>
            <w:r>
              <w:rPr>
                <w:rFonts w:hint="eastAsia" w:ascii="宋体" w:hAnsi="宋体" w:eastAsia="宋体" w:cs="宋体"/>
                <w:color w:val="000000"/>
                <w:kern w:val="0"/>
                <w:sz w:val="24"/>
                <w:lang w:val="en-US" w:eastAsia="zh-CN"/>
              </w:rPr>
              <w:t>2</w:t>
            </w:r>
          </w:p>
        </w:tc>
        <w:tc>
          <w:tcPr>
            <w:tcW w:w="645" w:type="pct"/>
          </w:tcPr>
          <w:p w14:paraId="0C48572A">
            <w:pPr>
              <w:widowControl/>
              <w:jc w:val="left"/>
              <w:rPr>
                <w:rFonts w:hint="eastAsia" w:ascii="宋体" w:hAnsi="宋体" w:eastAsia="宋体" w:cs="宋体"/>
                <w:color w:val="000000"/>
                <w:kern w:val="0"/>
                <w:sz w:val="24"/>
              </w:rPr>
            </w:pPr>
            <w:r>
              <w:rPr>
                <w:rFonts w:hint="eastAsia" w:ascii="宋体" w:hAnsi="宋体" w:eastAsia="宋体" w:cs="宋体"/>
                <w:color w:val="000000"/>
                <w:kern w:val="0"/>
                <w:sz w:val="24"/>
                <w:szCs w:val="24"/>
                <w:lang w:val="en-US" w:eastAsia="zh-CN"/>
              </w:rPr>
              <w:t>台</w:t>
            </w:r>
          </w:p>
        </w:tc>
      </w:tr>
      <w:tr w14:paraId="54FA0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300" w:type="pct"/>
            <w:vMerge w:val="continue"/>
            <w:vAlign w:val="center"/>
          </w:tcPr>
          <w:p w14:paraId="2AFDA38C">
            <w:pPr>
              <w:widowControl/>
              <w:jc w:val="center"/>
              <w:rPr>
                <w:rFonts w:ascii="宋体" w:hAnsi="宋体" w:eastAsia="宋体" w:cs="宋体"/>
                <w:color w:val="000000"/>
                <w:kern w:val="0"/>
                <w:sz w:val="24"/>
              </w:rPr>
            </w:pPr>
          </w:p>
        </w:tc>
        <w:tc>
          <w:tcPr>
            <w:tcW w:w="512" w:type="pct"/>
            <w:vMerge w:val="continue"/>
            <w:noWrap/>
            <w:vAlign w:val="center"/>
          </w:tcPr>
          <w:p w14:paraId="3A390357">
            <w:pPr>
              <w:widowControl/>
              <w:jc w:val="left"/>
              <w:rPr>
                <w:rFonts w:hint="eastAsia" w:ascii="宋体" w:hAnsi="宋体" w:eastAsia="宋体" w:cs="宋体"/>
                <w:color w:val="000000"/>
                <w:kern w:val="0"/>
                <w:sz w:val="24"/>
                <w:szCs w:val="24"/>
              </w:rPr>
            </w:pPr>
          </w:p>
        </w:tc>
        <w:tc>
          <w:tcPr>
            <w:tcW w:w="584" w:type="pct"/>
            <w:gridSpan w:val="3"/>
            <w:vAlign w:val="center"/>
          </w:tcPr>
          <w:p w14:paraId="2C5083E6">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桌面云终端</w:t>
            </w:r>
          </w:p>
        </w:tc>
        <w:tc>
          <w:tcPr>
            <w:tcW w:w="2331" w:type="pct"/>
            <w:vAlign w:val="center"/>
          </w:tcPr>
          <w:p w14:paraId="496A3858">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CPU: ≥四核，≥2.0GHz</w:t>
            </w:r>
          </w:p>
          <w:p w14:paraId="5EBF8653">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NPU RK NN 0.8TOPS</w:t>
            </w:r>
          </w:p>
          <w:p w14:paraId="426F94CB">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内存：≥4G</w:t>
            </w:r>
          </w:p>
          <w:p w14:paraId="2E5C3B5C">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存储：≥32G</w:t>
            </w:r>
          </w:p>
          <w:p w14:paraId="225CC008">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屏幕尺寸：≥24寸</w:t>
            </w:r>
          </w:p>
          <w:p w14:paraId="7DDF82A7">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显示器分辨率：≥1920*1080 ·</w:t>
            </w:r>
          </w:p>
        </w:tc>
        <w:tc>
          <w:tcPr>
            <w:tcW w:w="625" w:type="pct"/>
            <w:vAlign w:val="center"/>
          </w:tcPr>
          <w:p w14:paraId="42489E5D">
            <w:pPr>
              <w:widowControl/>
              <w:jc w:val="left"/>
              <w:rPr>
                <w:rFonts w:hint="default" w:ascii="宋体" w:hAnsi="宋体" w:eastAsia="宋体" w:cs="宋体"/>
                <w:color w:val="000000"/>
                <w:kern w:val="0"/>
                <w:sz w:val="24"/>
                <w:lang w:val="en-US" w:eastAsia="zh-CN"/>
              </w:rPr>
            </w:pPr>
            <w:r>
              <w:rPr>
                <w:rFonts w:hint="eastAsia" w:ascii="宋体" w:hAnsi="宋体" w:eastAsia="宋体" w:cs="宋体"/>
                <w:color w:val="000000"/>
                <w:kern w:val="0"/>
                <w:sz w:val="24"/>
                <w:lang w:val="en-US" w:eastAsia="zh-CN"/>
              </w:rPr>
              <w:t>50</w:t>
            </w:r>
          </w:p>
        </w:tc>
        <w:tc>
          <w:tcPr>
            <w:tcW w:w="645" w:type="pct"/>
            <w:vAlign w:val="center"/>
          </w:tcPr>
          <w:p w14:paraId="0D04A05D">
            <w:pPr>
              <w:widowControl/>
              <w:jc w:val="left"/>
              <w:rPr>
                <w:rFonts w:hint="eastAsia" w:ascii="宋体" w:hAnsi="宋体" w:eastAsia="宋体" w:cs="宋体"/>
                <w:color w:val="000000"/>
                <w:kern w:val="0"/>
                <w:sz w:val="24"/>
              </w:rPr>
            </w:pPr>
            <w:r>
              <w:rPr>
                <w:rFonts w:hint="eastAsia" w:ascii="宋体" w:hAnsi="宋体" w:eastAsia="宋体" w:cs="宋体"/>
                <w:color w:val="000000"/>
                <w:kern w:val="0"/>
                <w:sz w:val="24"/>
                <w:szCs w:val="24"/>
                <w:lang w:val="en-US" w:eastAsia="zh-CN"/>
              </w:rPr>
              <w:t>台</w:t>
            </w:r>
          </w:p>
        </w:tc>
      </w:tr>
    </w:tbl>
    <w:p w14:paraId="05C59B63">
      <w:pPr>
        <w:ind w:firstLine="0" w:firstLineChars="0"/>
        <w:rPr>
          <w:rFonts w:hint="eastAsia" w:ascii="宋体" w:hAnsi="宋体" w:eastAsia="宋体" w:cs="宋体"/>
          <w:color w:val="000000" w:themeColor="text1"/>
          <w:kern w:val="0"/>
          <w:sz w:val="28"/>
          <w:szCs w:val="28"/>
          <w14:textFill>
            <w14:solidFill>
              <w14:schemeClr w14:val="tx1"/>
            </w14:solidFill>
          </w14:textFill>
        </w:rPr>
      </w:pPr>
    </w:p>
    <w:p w14:paraId="69409910">
      <w:pPr>
        <w:rPr>
          <w:rFonts w:hint="eastAsia" w:ascii="宋体" w:hAnsi="宋体" w:eastAsia="宋体" w:cs="宋体"/>
          <w:b/>
          <w:bCs/>
          <w:color w:val="000000" w:themeColor="text1"/>
          <w:sz w:val="28"/>
          <w:szCs w:val="28"/>
          <w14:textFill>
            <w14:solidFill>
              <w14:schemeClr w14:val="tx1"/>
            </w14:solidFill>
          </w14:textFill>
        </w:rPr>
      </w:pPr>
    </w:p>
    <w:sectPr>
      <w:headerReference r:id="rId8" w:type="first"/>
      <w:footerReference r:id="rId11" w:type="first"/>
      <w:headerReference r:id="rId6" w:type="default"/>
      <w:footerReference r:id="rId9" w:type="default"/>
      <w:headerReference r:id="rId7" w:type="even"/>
      <w:footerReference r:id="rId10" w:type="even"/>
      <w:pgSz w:w="11906" w:h="16838"/>
      <w:pgMar w:top="1418" w:right="1418" w:bottom="1418" w:left="1418"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72733975"/>
    </w:sdtPr>
    <w:sdtContent>
      <w:p w14:paraId="274D92E8">
        <w:pPr>
          <w:pStyle w:val="20"/>
          <w:ind w:firstLine="360"/>
          <w:jc w:val="right"/>
        </w:pPr>
        <w:r>
          <w:fldChar w:fldCharType="begin"/>
        </w:r>
        <w:r>
          <w:instrText xml:space="preserve">PAGE   \* MERGEFORMAT</w:instrText>
        </w:r>
        <w:r>
          <w:fldChar w:fldCharType="separate"/>
        </w:r>
        <w:r>
          <w:rPr>
            <w:lang w:val="zh-CN"/>
          </w:rPr>
          <w:t>7</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22589524"/>
    </w:sdtPr>
    <w:sdtContent>
      <w:p w14:paraId="78F94AD3">
        <w:pPr>
          <w:pStyle w:val="20"/>
          <w:ind w:firstLine="360"/>
          <w:jc w:val="center"/>
        </w:pPr>
        <w:r>
          <w:fldChar w:fldCharType="begin"/>
        </w:r>
        <w:r>
          <w:instrText xml:space="preserve">PAGE   \* MERGEFORMAT</w:instrText>
        </w:r>
        <w:r>
          <w:fldChar w:fldCharType="separate"/>
        </w:r>
        <w:r>
          <w:rPr>
            <w:lang w:val="zh-CN"/>
          </w:rPr>
          <w:t>21</w:t>
        </w:r>
        <w:r>
          <w:rPr>
            <w:lang w:val="zh-CN"/>
          </w:rPr>
          <w:fldChar w:fldCharType="end"/>
        </w:r>
      </w:p>
    </w:sdtContent>
  </w:sdt>
  <w:p w14:paraId="187FC6EB">
    <w:pPr>
      <w:pStyle w:val="2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E5523D">
    <w:pPr>
      <w:pStyle w:val="2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162B54">
    <w:pPr>
      <w:pStyle w:val="20"/>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F63FFF">
    <w:pPr>
      <w:ind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FD000">
    <w:pPr>
      <w:pStyle w:val="2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D080C9">
    <w:pPr>
      <w:pStyle w:val="2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D07402"/>
    <w:multiLevelType w:val="multilevel"/>
    <w:tmpl w:val="A6D07402"/>
    <w:lvl w:ilvl="0" w:tentative="0">
      <w:start w:val="1"/>
      <w:numFmt w:val="chineseCounting"/>
      <w:pStyle w:val="2"/>
      <w:suff w:val="nothing"/>
      <w:lvlText w:val="%1、"/>
      <w:lvlJc w:val="left"/>
      <w:pPr>
        <w:tabs>
          <w:tab w:val="left" w:pos="0"/>
        </w:tabs>
        <w:ind w:left="0" w:firstLine="0"/>
      </w:pPr>
      <w:rPr>
        <w:rFonts w:hint="eastAsia" w:ascii="黑体" w:hAnsi="黑体" w:eastAsia="黑体"/>
      </w:rPr>
    </w:lvl>
    <w:lvl w:ilvl="1" w:tentative="0">
      <w:start w:val="1"/>
      <w:numFmt w:val="chineseCounting"/>
      <w:pStyle w:val="4"/>
      <w:suff w:val="nothing"/>
      <w:lvlText w:val="（%2）"/>
      <w:lvlJc w:val="left"/>
      <w:pPr>
        <w:tabs>
          <w:tab w:val="left" w:pos="0"/>
        </w:tabs>
        <w:ind w:left="0" w:firstLine="0"/>
      </w:pPr>
      <w:rPr>
        <w:rFonts w:hint="eastAsia" w:ascii="黑体" w:hAnsi="黑体" w:eastAsia="黑体"/>
      </w:rPr>
    </w:lvl>
    <w:lvl w:ilvl="2" w:tentative="0">
      <w:start w:val="1"/>
      <w:numFmt w:val="decimal"/>
      <w:pStyle w:val="5"/>
      <w:suff w:val="nothing"/>
      <w:lvlText w:val="%3．"/>
      <w:lvlJc w:val="left"/>
      <w:pPr>
        <w:tabs>
          <w:tab w:val="left" w:pos="0"/>
        </w:tabs>
        <w:ind w:left="0" w:firstLine="0"/>
      </w:pPr>
      <w:rPr>
        <w:rFonts w:hint="eastAsia" w:ascii="黑体" w:hAnsi="黑体" w:eastAsia="黑体"/>
      </w:rPr>
    </w:lvl>
    <w:lvl w:ilvl="3" w:tentative="0">
      <w:start w:val="1"/>
      <w:numFmt w:val="decimal"/>
      <w:pStyle w:val="6"/>
      <w:suff w:val="nothing"/>
      <w:lvlText w:val="（%4）"/>
      <w:lvlJc w:val="left"/>
      <w:pPr>
        <w:tabs>
          <w:tab w:val="left" w:pos="0"/>
        </w:tabs>
        <w:ind w:left="0" w:firstLine="0"/>
      </w:pPr>
      <w:rPr>
        <w:rFonts w:hint="eastAsia" w:ascii="黑体" w:hAnsi="黑体" w:eastAsia="黑体"/>
      </w:rPr>
    </w:lvl>
    <w:lvl w:ilvl="4" w:tentative="0">
      <w:start w:val="1"/>
      <w:numFmt w:val="decimalEnclosedCircleChinese"/>
      <w:pStyle w:val="7"/>
      <w:suff w:val="space"/>
      <w:lvlText w:val="%5"/>
      <w:lvlJc w:val="left"/>
      <w:pPr>
        <w:ind w:left="0" w:firstLine="0"/>
      </w:pPr>
      <w:rPr>
        <w:rFonts w:hint="eastAsia" w:ascii="黑体" w:hAnsi="黑体" w:eastAsia="黑体"/>
      </w:rPr>
    </w:lvl>
    <w:lvl w:ilvl="5" w:tentative="0">
      <w:start w:val="1"/>
      <w:numFmt w:val="decimal"/>
      <w:pStyle w:val="8"/>
      <w:suff w:val="nothing"/>
      <w:lvlText w:val="%6）"/>
      <w:lvlJc w:val="left"/>
      <w:pPr>
        <w:ind w:left="0" w:firstLine="0"/>
      </w:pPr>
      <w:rPr>
        <w:rFonts w:hint="eastAsia"/>
      </w:rPr>
    </w:lvl>
    <w:lvl w:ilvl="6" w:tentative="0">
      <w:start w:val="1"/>
      <w:numFmt w:val="lowerLetter"/>
      <w:pStyle w:val="9"/>
      <w:suff w:val="nothing"/>
      <w:lvlText w:val="%7．"/>
      <w:lvlJc w:val="left"/>
      <w:pPr>
        <w:ind w:left="0" w:firstLine="0"/>
      </w:pPr>
      <w:rPr>
        <w:rFonts w:hint="eastAsia"/>
      </w:rPr>
    </w:lvl>
    <w:lvl w:ilvl="7" w:tentative="0">
      <w:start w:val="1"/>
      <w:numFmt w:val="lowerLetter"/>
      <w:pStyle w:val="10"/>
      <w:suff w:val="nothing"/>
      <w:lvlText w:val="%8）"/>
      <w:lvlJc w:val="left"/>
      <w:pPr>
        <w:ind w:left="0" w:firstLine="0"/>
      </w:pPr>
      <w:rPr>
        <w:rFonts w:hint="eastAsia"/>
      </w:rPr>
    </w:lvl>
    <w:lvl w:ilvl="8" w:tentative="0">
      <w:start w:val="1"/>
      <w:numFmt w:val="lowerRoman"/>
      <w:pStyle w:val="11"/>
      <w:suff w:val="nothing"/>
      <w:lvlText w:val="%9 "/>
      <w:lvlJc w:val="left"/>
      <w:pPr>
        <w:ind w:left="0" w:firstLine="0"/>
      </w:pPr>
      <w:rPr>
        <w:rFonts w:hint="eastAsia"/>
      </w:rPr>
    </w:lvl>
  </w:abstractNum>
  <w:abstractNum w:abstractNumId="1">
    <w:nsid w:val="BC51C0DF"/>
    <w:multiLevelType w:val="singleLevel"/>
    <w:tmpl w:val="BC51C0DF"/>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4YmQ5OTUzMTk3Y2Q1NDFiZWNmYjQyYmE2MmU5YzcifQ=="/>
  </w:docVars>
  <w:rsids>
    <w:rsidRoot w:val="006E5DCD"/>
    <w:rsid w:val="00045F1A"/>
    <w:rsid w:val="00066EBC"/>
    <w:rsid w:val="000D7959"/>
    <w:rsid w:val="00105CA7"/>
    <w:rsid w:val="001178C3"/>
    <w:rsid w:val="00140FE6"/>
    <w:rsid w:val="00146073"/>
    <w:rsid w:val="00186E9C"/>
    <w:rsid w:val="00230FED"/>
    <w:rsid w:val="0028726F"/>
    <w:rsid w:val="002D11D2"/>
    <w:rsid w:val="003044BF"/>
    <w:rsid w:val="00316DC0"/>
    <w:rsid w:val="00341E22"/>
    <w:rsid w:val="003F1766"/>
    <w:rsid w:val="00427F49"/>
    <w:rsid w:val="00454F79"/>
    <w:rsid w:val="0055190B"/>
    <w:rsid w:val="005855F1"/>
    <w:rsid w:val="0063713B"/>
    <w:rsid w:val="00650ADC"/>
    <w:rsid w:val="00667B89"/>
    <w:rsid w:val="006C28B9"/>
    <w:rsid w:val="006E4ADB"/>
    <w:rsid w:val="006E5DCD"/>
    <w:rsid w:val="0078792E"/>
    <w:rsid w:val="007A499A"/>
    <w:rsid w:val="007C17EA"/>
    <w:rsid w:val="007C4988"/>
    <w:rsid w:val="007E21AE"/>
    <w:rsid w:val="008716DF"/>
    <w:rsid w:val="008A17D3"/>
    <w:rsid w:val="008A29FE"/>
    <w:rsid w:val="008D6A3A"/>
    <w:rsid w:val="009B3899"/>
    <w:rsid w:val="009F7D14"/>
    <w:rsid w:val="00A23537"/>
    <w:rsid w:val="00A36DDF"/>
    <w:rsid w:val="00A972B5"/>
    <w:rsid w:val="00B34758"/>
    <w:rsid w:val="00B421C3"/>
    <w:rsid w:val="00B62038"/>
    <w:rsid w:val="00B769C6"/>
    <w:rsid w:val="00B76D88"/>
    <w:rsid w:val="00B77DB4"/>
    <w:rsid w:val="00B93FAE"/>
    <w:rsid w:val="00B962C7"/>
    <w:rsid w:val="00BA4653"/>
    <w:rsid w:val="00C33D0C"/>
    <w:rsid w:val="00C40C84"/>
    <w:rsid w:val="00C57BDB"/>
    <w:rsid w:val="00C7206E"/>
    <w:rsid w:val="00C74CF5"/>
    <w:rsid w:val="00CE4654"/>
    <w:rsid w:val="00CF229D"/>
    <w:rsid w:val="00D313A9"/>
    <w:rsid w:val="00D342A9"/>
    <w:rsid w:val="00D40375"/>
    <w:rsid w:val="00EC3FDE"/>
    <w:rsid w:val="00F23196"/>
    <w:rsid w:val="00F323C2"/>
    <w:rsid w:val="00F71854"/>
    <w:rsid w:val="00FC0C81"/>
    <w:rsid w:val="0848751E"/>
    <w:rsid w:val="086D0535"/>
    <w:rsid w:val="093F5EAE"/>
    <w:rsid w:val="09D41DD9"/>
    <w:rsid w:val="0B367710"/>
    <w:rsid w:val="0D746657"/>
    <w:rsid w:val="0F3A2595"/>
    <w:rsid w:val="0FC94D9F"/>
    <w:rsid w:val="108F6A5A"/>
    <w:rsid w:val="13E16C8E"/>
    <w:rsid w:val="14091B72"/>
    <w:rsid w:val="19EB1A3A"/>
    <w:rsid w:val="1DBD052B"/>
    <w:rsid w:val="1FBA16C2"/>
    <w:rsid w:val="24A7545A"/>
    <w:rsid w:val="26D01CD8"/>
    <w:rsid w:val="28D76D98"/>
    <w:rsid w:val="2A6401B8"/>
    <w:rsid w:val="2C294D3A"/>
    <w:rsid w:val="2D67698C"/>
    <w:rsid w:val="2E2B3802"/>
    <w:rsid w:val="2F155886"/>
    <w:rsid w:val="30A30761"/>
    <w:rsid w:val="318850D4"/>
    <w:rsid w:val="337040AC"/>
    <w:rsid w:val="34026A36"/>
    <w:rsid w:val="349E5CBE"/>
    <w:rsid w:val="3C752CBA"/>
    <w:rsid w:val="3D4D4BB3"/>
    <w:rsid w:val="3F6166EE"/>
    <w:rsid w:val="41012622"/>
    <w:rsid w:val="41EB126F"/>
    <w:rsid w:val="438C5E78"/>
    <w:rsid w:val="43C85AEE"/>
    <w:rsid w:val="446B68BB"/>
    <w:rsid w:val="46202A9A"/>
    <w:rsid w:val="4B9B26EC"/>
    <w:rsid w:val="4C184CE4"/>
    <w:rsid w:val="56D27300"/>
    <w:rsid w:val="578A51F9"/>
    <w:rsid w:val="5BBC0DEB"/>
    <w:rsid w:val="608140DE"/>
    <w:rsid w:val="64732F63"/>
    <w:rsid w:val="6E473406"/>
    <w:rsid w:val="718844D0"/>
    <w:rsid w:val="738A4F1A"/>
    <w:rsid w:val="75F61D2B"/>
    <w:rsid w:val="78756948"/>
    <w:rsid w:val="7C6D3D8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qFormat="1"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 w:afterLines="20" w:line="288" w:lineRule="auto"/>
      <w:jc w:val="both"/>
    </w:pPr>
    <w:rPr>
      <w:rFonts w:ascii="黑体" w:hAnsi="黑体" w:eastAsia="黑体" w:cstheme="minorBidi"/>
      <w:kern w:val="2"/>
      <w:sz w:val="21"/>
      <w:szCs w:val="21"/>
      <w:lang w:val="en-US" w:eastAsia="zh-CN" w:bidi="ar-SA"/>
    </w:rPr>
  </w:style>
  <w:style w:type="paragraph" w:styleId="2">
    <w:name w:val="heading 1"/>
    <w:next w:val="3"/>
    <w:link w:val="41"/>
    <w:qFormat/>
    <w:uiPriority w:val="9"/>
    <w:pPr>
      <w:keepNext/>
      <w:keepLines/>
      <w:numPr>
        <w:ilvl w:val="0"/>
        <w:numId w:val="1"/>
      </w:numPr>
      <w:adjustRightInd w:val="0"/>
      <w:snapToGrid w:val="0"/>
      <w:spacing w:before="100" w:beforeLines="100" w:after="50" w:afterLines="50" w:line="288" w:lineRule="auto"/>
      <w:outlineLvl w:val="0"/>
    </w:pPr>
    <w:rPr>
      <w:rFonts w:ascii="黑体" w:hAnsi="黑体" w:eastAsia="黑体" w:cstheme="minorBidi"/>
      <w:b/>
      <w:bCs/>
      <w:kern w:val="44"/>
      <w:sz w:val="36"/>
      <w:szCs w:val="36"/>
      <w:lang w:val="en-US" w:eastAsia="zh-CN" w:bidi="ar-SA"/>
    </w:rPr>
  </w:style>
  <w:style w:type="paragraph" w:styleId="4">
    <w:name w:val="heading 2"/>
    <w:next w:val="3"/>
    <w:link w:val="42"/>
    <w:unhideWhenUsed/>
    <w:qFormat/>
    <w:uiPriority w:val="9"/>
    <w:pPr>
      <w:numPr>
        <w:ilvl w:val="1"/>
        <w:numId w:val="1"/>
      </w:numPr>
      <w:adjustRightInd w:val="0"/>
      <w:snapToGrid w:val="0"/>
      <w:spacing w:before="100" w:beforeLines="100" w:after="50" w:afterLines="50" w:line="288" w:lineRule="auto"/>
      <w:ind w:left="0" w:firstLine="0"/>
      <w:outlineLvl w:val="1"/>
    </w:pPr>
    <w:rPr>
      <w:rFonts w:ascii="黑体" w:hAnsi="黑体" w:eastAsia="黑体" w:cstheme="minorBidi"/>
      <w:b/>
      <w:bCs/>
      <w:kern w:val="2"/>
      <w:sz w:val="32"/>
      <w:szCs w:val="32"/>
      <w:lang w:val="en-US" w:eastAsia="zh-CN" w:bidi="ar-SA"/>
    </w:rPr>
  </w:style>
  <w:style w:type="paragraph" w:styleId="5">
    <w:name w:val="heading 3"/>
    <w:next w:val="3"/>
    <w:link w:val="43"/>
    <w:unhideWhenUsed/>
    <w:qFormat/>
    <w:uiPriority w:val="9"/>
    <w:pPr>
      <w:numPr>
        <w:ilvl w:val="2"/>
        <w:numId w:val="1"/>
      </w:numPr>
      <w:tabs>
        <w:tab w:val="left" w:pos="312"/>
        <w:tab w:val="clear" w:pos="0"/>
      </w:tabs>
      <w:adjustRightInd w:val="0"/>
      <w:snapToGrid w:val="0"/>
      <w:spacing w:before="100" w:beforeLines="100" w:after="50" w:afterLines="50" w:line="288" w:lineRule="auto"/>
      <w:ind w:left="0" w:firstLine="0"/>
      <w:outlineLvl w:val="2"/>
    </w:pPr>
    <w:rPr>
      <w:rFonts w:ascii="黑体" w:hAnsi="黑体" w:eastAsia="黑体" w:cstheme="minorBidi"/>
      <w:b/>
      <w:bCs/>
      <w:kern w:val="2"/>
      <w:sz w:val="30"/>
      <w:szCs w:val="30"/>
      <w:lang w:val="en-US" w:eastAsia="zh-CN" w:bidi="ar-SA"/>
    </w:rPr>
  </w:style>
  <w:style w:type="paragraph" w:styleId="6">
    <w:name w:val="heading 4"/>
    <w:next w:val="3"/>
    <w:link w:val="40"/>
    <w:unhideWhenUsed/>
    <w:qFormat/>
    <w:uiPriority w:val="9"/>
    <w:pPr>
      <w:numPr>
        <w:ilvl w:val="3"/>
        <w:numId w:val="1"/>
      </w:numPr>
      <w:adjustRightInd w:val="0"/>
      <w:snapToGrid w:val="0"/>
      <w:spacing w:before="100" w:beforeLines="100" w:after="50" w:afterLines="50" w:line="288" w:lineRule="auto"/>
      <w:ind w:left="0" w:firstLine="0"/>
      <w:outlineLvl w:val="3"/>
    </w:pPr>
    <w:rPr>
      <w:rFonts w:ascii="黑体" w:hAnsi="黑体" w:eastAsia="黑体" w:cstheme="minorBidi"/>
      <w:b/>
      <w:bCs/>
      <w:sz w:val="28"/>
      <w:szCs w:val="28"/>
      <w:lang w:val="en-US" w:eastAsia="zh-CN" w:bidi="ar-SA"/>
    </w:rPr>
  </w:style>
  <w:style w:type="paragraph" w:styleId="7">
    <w:name w:val="heading 5"/>
    <w:basedOn w:val="1"/>
    <w:next w:val="3"/>
    <w:link w:val="44"/>
    <w:unhideWhenUsed/>
    <w:qFormat/>
    <w:uiPriority w:val="9"/>
    <w:pPr>
      <w:numPr>
        <w:ilvl w:val="4"/>
        <w:numId w:val="1"/>
      </w:numPr>
      <w:tabs>
        <w:tab w:val="left" w:pos="312"/>
      </w:tabs>
      <w:adjustRightInd w:val="0"/>
      <w:snapToGrid w:val="0"/>
      <w:spacing w:before="100" w:beforeLines="100" w:after="50" w:afterLines="50"/>
      <w:ind w:left="0" w:firstLine="0"/>
      <w:outlineLvl w:val="4"/>
    </w:pPr>
    <w:rPr>
      <w:rFonts w:ascii="黑体" w:hAnsi="黑体" w:eastAsia="黑体"/>
      <w:b/>
      <w:bCs/>
      <w:sz w:val="24"/>
      <w:szCs w:val="24"/>
    </w:rPr>
  </w:style>
  <w:style w:type="paragraph" w:styleId="8">
    <w:name w:val="heading 6"/>
    <w:basedOn w:val="1"/>
    <w:next w:val="3"/>
    <w:link w:val="45"/>
    <w:unhideWhenUsed/>
    <w:qFormat/>
    <w:uiPriority w:val="0"/>
    <w:pPr>
      <w:numPr>
        <w:ilvl w:val="5"/>
        <w:numId w:val="1"/>
      </w:numPr>
      <w:spacing w:before="30" w:beforeLines="30" w:after="30" w:afterLines="30" w:line="312" w:lineRule="auto"/>
      <w:outlineLvl w:val="5"/>
    </w:pPr>
    <w:rPr>
      <w:b/>
      <w:bCs/>
      <w:sz w:val="24"/>
      <w:szCs w:val="24"/>
    </w:rPr>
  </w:style>
  <w:style w:type="paragraph" w:styleId="9">
    <w:name w:val="heading 7"/>
    <w:basedOn w:val="1"/>
    <w:next w:val="3"/>
    <w:unhideWhenUsed/>
    <w:qFormat/>
    <w:uiPriority w:val="0"/>
    <w:pPr>
      <w:numPr>
        <w:ilvl w:val="6"/>
        <w:numId w:val="1"/>
      </w:numPr>
      <w:spacing w:before="30" w:beforeLines="30" w:after="30" w:afterLines="30" w:line="312" w:lineRule="auto"/>
      <w:outlineLvl w:val="6"/>
    </w:pPr>
    <w:rPr>
      <w:b/>
      <w:bCs/>
      <w:sz w:val="24"/>
      <w:szCs w:val="24"/>
    </w:rPr>
  </w:style>
  <w:style w:type="paragraph" w:styleId="10">
    <w:name w:val="heading 8"/>
    <w:basedOn w:val="1"/>
    <w:next w:val="3"/>
    <w:unhideWhenUsed/>
    <w:qFormat/>
    <w:uiPriority w:val="0"/>
    <w:pPr>
      <w:numPr>
        <w:ilvl w:val="7"/>
        <w:numId w:val="1"/>
      </w:numPr>
      <w:spacing w:before="30" w:beforeLines="30" w:after="30" w:afterLines="30" w:line="312" w:lineRule="auto"/>
      <w:outlineLvl w:val="7"/>
    </w:pPr>
    <w:rPr>
      <w:b/>
      <w:bCs/>
      <w:sz w:val="24"/>
      <w:szCs w:val="24"/>
    </w:rPr>
  </w:style>
  <w:style w:type="paragraph" w:styleId="11">
    <w:name w:val="heading 9"/>
    <w:basedOn w:val="1"/>
    <w:next w:val="3"/>
    <w:unhideWhenUsed/>
    <w:qFormat/>
    <w:uiPriority w:val="0"/>
    <w:pPr>
      <w:numPr>
        <w:ilvl w:val="8"/>
        <w:numId w:val="1"/>
      </w:numPr>
      <w:spacing w:before="30" w:beforeLines="30" w:after="30" w:afterLines="30" w:line="312" w:lineRule="auto"/>
      <w:outlineLvl w:val="8"/>
    </w:pPr>
    <w:rPr>
      <w:b/>
      <w:bCs/>
      <w:sz w:val="24"/>
      <w:szCs w:val="24"/>
    </w:rPr>
  </w:style>
  <w:style w:type="character" w:default="1" w:styleId="31">
    <w:name w:val="Default Paragraph Font"/>
    <w:semiHidden/>
    <w:qFormat/>
    <w:uiPriority w:val="0"/>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46"/>
    <w:qFormat/>
    <w:uiPriority w:val="0"/>
    <w:pPr>
      <w:spacing w:before="100" w:after="100" w:afterLines="0" w:afterAutospacing="0" w:line="300" w:lineRule="auto"/>
      <w:ind w:firstLine="1124" w:firstLineChars="200"/>
    </w:pPr>
    <w:rPr>
      <w:rFonts w:ascii="黑体" w:hAnsi="黑体"/>
    </w:rPr>
  </w:style>
  <w:style w:type="paragraph" w:styleId="12">
    <w:name w:val="Normal Indent"/>
    <w:basedOn w:val="1"/>
    <w:qFormat/>
    <w:uiPriority w:val="0"/>
    <w:pPr>
      <w:ind w:firstLine="420" w:firstLineChars="200"/>
    </w:pPr>
  </w:style>
  <w:style w:type="paragraph" w:styleId="13">
    <w:name w:val="caption"/>
    <w:basedOn w:val="1"/>
    <w:next w:val="1"/>
    <w:unhideWhenUsed/>
    <w:qFormat/>
    <w:uiPriority w:val="0"/>
    <w:pPr>
      <w:ind w:firstLine="0" w:firstLineChars="0"/>
    </w:pPr>
    <w:rPr>
      <w:rFonts w:cs="Times New Roman"/>
      <w:sz w:val="20"/>
      <w:szCs w:val="20"/>
    </w:rPr>
  </w:style>
  <w:style w:type="paragraph" w:styleId="14">
    <w:name w:val="annotation text"/>
    <w:basedOn w:val="1"/>
    <w:qFormat/>
    <w:uiPriority w:val="0"/>
    <w:pPr>
      <w:jc w:val="left"/>
    </w:pPr>
    <w:rPr>
      <w:color w:val="262626" w:themeColor="text1" w:themeTint="D9"/>
      <w14:textFill>
        <w14:solidFill>
          <w14:schemeClr w14:val="tx1">
            <w14:lumMod w14:val="85000"/>
            <w14:lumOff w14:val="15000"/>
          </w14:schemeClr>
        </w14:solidFill>
      </w14:textFill>
    </w:rPr>
  </w:style>
  <w:style w:type="paragraph" w:styleId="15">
    <w:name w:val="Salutation"/>
    <w:basedOn w:val="1"/>
    <w:next w:val="1"/>
    <w:qFormat/>
    <w:uiPriority w:val="0"/>
    <w:pPr>
      <w:adjustRightInd w:val="0"/>
      <w:snapToGrid w:val="0"/>
      <w:ind w:firstLine="0" w:firstLineChars="0"/>
    </w:pPr>
  </w:style>
  <w:style w:type="paragraph" w:styleId="16">
    <w:name w:val="Body Text Indent"/>
    <w:basedOn w:val="1"/>
    <w:qFormat/>
    <w:uiPriority w:val="0"/>
    <w:pPr>
      <w:spacing w:after="120" w:afterLines="0" w:afterAutospacing="0"/>
      <w:ind w:left="420" w:leftChars="200"/>
    </w:pPr>
  </w:style>
  <w:style w:type="paragraph" w:styleId="17">
    <w:name w:val="Date"/>
    <w:basedOn w:val="1"/>
    <w:next w:val="1"/>
    <w:qFormat/>
    <w:uiPriority w:val="0"/>
    <w:pPr>
      <w:ind w:firstLine="0" w:firstLineChars="0"/>
      <w:jc w:val="right"/>
    </w:pPr>
    <w:rPr>
      <w:color w:val="262626" w:themeColor="text1" w:themeTint="D9"/>
      <w14:textFill>
        <w14:solidFill>
          <w14:schemeClr w14:val="tx1">
            <w14:lumMod w14:val="85000"/>
            <w14:lumOff w14:val="15000"/>
          </w14:schemeClr>
        </w14:solidFill>
      </w14:textFill>
    </w:rPr>
  </w:style>
  <w:style w:type="paragraph" w:styleId="18">
    <w:name w:val="endnote text"/>
    <w:basedOn w:val="1"/>
    <w:qFormat/>
    <w:uiPriority w:val="0"/>
    <w:pPr>
      <w:jc w:val="left"/>
    </w:pPr>
    <w:rPr>
      <w:color w:val="262626" w:themeColor="text1" w:themeTint="D9"/>
      <w14:textFill>
        <w14:solidFill>
          <w14:schemeClr w14:val="tx1">
            <w14:lumMod w14:val="85000"/>
            <w14:lumOff w14:val="15000"/>
          </w14:schemeClr>
        </w14:solidFill>
      </w14:textFill>
    </w:rPr>
  </w:style>
  <w:style w:type="paragraph" w:styleId="19">
    <w:name w:val="Balloon Text"/>
    <w:basedOn w:val="1"/>
    <w:link w:val="51"/>
    <w:qFormat/>
    <w:uiPriority w:val="0"/>
    <w:rPr>
      <w:sz w:val="18"/>
      <w:szCs w:val="18"/>
    </w:rPr>
  </w:style>
  <w:style w:type="paragraph" w:styleId="20">
    <w:name w:val="footer"/>
    <w:basedOn w:val="1"/>
    <w:link w:val="49"/>
    <w:qFormat/>
    <w:uiPriority w:val="0"/>
    <w:pPr>
      <w:tabs>
        <w:tab w:val="center" w:pos="4153"/>
        <w:tab w:val="right" w:pos="8306"/>
      </w:tabs>
      <w:ind w:firstLine="0" w:firstLineChars="0"/>
      <w:jc w:val="left"/>
    </w:pPr>
    <w:rPr>
      <w:sz w:val="18"/>
      <w:szCs w:val="18"/>
    </w:rPr>
  </w:style>
  <w:style w:type="paragraph" w:styleId="21">
    <w:name w:val="header"/>
    <w:basedOn w:val="1"/>
    <w:link w:val="48"/>
    <w:qFormat/>
    <w:uiPriority w:val="0"/>
    <w:pPr>
      <w:pBdr>
        <w:top w:val="none" w:color="auto" w:sz="0" w:space="1"/>
        <w:left w:val="none" w:color="auto" w:sz="0" w:space="4"/>
        <w:bottom w:val="none" w:color="auto" w:sz="0" w:space="1"/>
        <w:right w:val="none" w:color="auto" w:sz="0" w:space="4"/>
      </w:pBdr>
      <w:tabs>
        <w:tab w:val="center" w:pos="4153"/>
        <w:tab w:val="right" w:pos="8306"/>
      </w:tabs>
      <w:spacing w:line="240" w:lineRule="auto"/>
      <w:ind w:firstLine="0" w:firstLineChars="0"/>
    </w:pPr>
    <w:rPr>
      <w:sz w:val="18"/>
      <w:szCs w:val="18"/>
    </w:rPr>
  </w:style>
  <w:style w:type="paragraph" w:styleId="22">
    <w:name w:val="Signature"/>
    <w:basedOn w:val="1"/>
    <w:qFormat/>
    <w:uiPriority w:val="0"/>
    <w:pPr>
      <w:ind w:firstLine="0" w:firstLineChars="0"/>
      <w:jc w:val="right"/>
    </w:pPr>
    <w:rPr>
      <w:color w:val="262626" w:themeColor="text1" w:themeTint="D9"/>
      <w14:textFill>
        <w14:solidFill>
          <w14:schemeClr w14:val="tx1">
            <w14:lumMod w14:val="85000"/>
            <w14:lumOff w14:val="15000"/>
          </w14:schemeClr>
        </w14:solidFill>
      </w14:textFill>
    </w:rPr>
  </w:style>
  <w:style w:type="paragraph" w:styleId="23">
    <w:name w:val="Subtitle"/>
    <w:basedOn w:val="1"/>
    <w:next w:val="3"/>
    <w:qFormat/>
    <w:uiPriority w:val="0"/>
    <w:pPr>
      <w:adjustRightInd w:val="0"/>
      <w:snapToGrid w:val="0"/>
      <w:spacing w:beforeLines="0" w:beforeAutospacing="0" w:after="100" w:afterLines="100" w:afterAutospacing="0" w:line="288" w:lineRule="auto"/>
      <w:jc w:val="center"/>
      <w:outlineLvl w:val="9"/>
    </w:pPr>
    <w:rPr>
      <w:b/>
      <w:kern w:val="28"/>
      <w:sz w:val="32"/>
      <w:szCs w:val="32"/>
    </w:rPr>
  </w:style>
  <w:style w:type="paragraph" w:styleId="24">
    <w:name w:val="footnote text"/>
    <w:basedOn w:val="1"/>
    <w:qFormat/>
    <w:uiPriority w:val="0"/>
    <w:pPr>
      <w:jc w:val="left"/>
    </w:pPr>
    <w:rPr>
      <w:rFonts w:ascii="黑体" w:hAnsi="黑体" w:eastAsia="黑体"/>
      <w:sz w:val="24"/>
      <w:szCs w:val="24"/>
    </w:rPr>
  </w:style>
  <w:style w:type="paragraph" w:styleId="25">
    <w:name w:val="Normal (Web)"/>
    <w:basedOn w:val="1"/>
    <w:qFormat/>
    <w:uiPriority w:val="0"/>
    <w:rPr>
      <w:sz w:val="24"/>
      <w:szCs w:val="24"/>
    </w:rPr>
  </w:style>
  <w:style w:type="paragraph" w:styleId="26">
    <w:name w:val="Title"/>
    <w:basedOn w:val="1"/>
    <w:next w:val="3"/>
    <w:qFormat/>
    <w:uiPriority w:val="10"/>
    <w:pPr>
      <w:adjustRightInd w:val="0"/>
      <w:snapToGrid w:val="0"/>
      <w:spacing w:after="80" w:afterLines="80" w:line="288" w:lineRule="auto"/>
      <w:ind w:firstLine="0" w:firstLineChars="0"/>
      <w:jc w:val="center"/>
      <w:outlineLvl w:val="9"/>
    </w:pPr>
    <w:rPr>
      <w:b/>
      <w:sz w:val="48"/>
      <w:szCs w:val="48"/>
    </w:rPr>
  </w:style>
  <w:style w:type="paragraph" w:styleId="27">
    <w:name w:val="annotation subject"/>
    <w:basedOn w:val="14"/>
    <w:next w:val="14"/>
    <w:qFormat/>
    <w:uiPriority w:val="0"/>
    <w:rPr>
      <w:b/>
      <w:bCs/>
    </w:rPr>
  </w:style>
  <w:style w:type="paragraph" w:styleId="28">
    <w:name w:val="Body Text First Indent 2"/>
    <w:basedOn w:val="16"/>
    <w:qFormat/>
    <w:uiPriority w:val="0"/>
    <w:pPr>
      <w:ind w:firstLine="420" w:firstLineChars="200"/>
    </w:pPr>
  </w:style>
  <w:style w:type="table" w:styleId="30">
    <w:name w:val="Table Grid"/>
    <w:basedOn w:val="29"/>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2">
    <w:name w:val="Strong"/>
    <w:basedOn w:val="31"/>
    <w:qFormat/>
    <w:uiPriority w:val="22"/>
    <w:rPr>
      <w:rFonts w:ascii="黑体" w:hAnsi="黑体" w:eastAsia="黑体"/>
      <w:b/>
      <w:bCs/>
      <w:color w:val="4472C4" w:themeColor="accent1"/>
      <w:u w:val="single"/>
      <w14:textFill>
        <w14:solidFill>
          <w14:schemeClr w14:val="accent1"/>
        </w14:solidFill>
      </w14:textFill>
    </w:rPr>
  </w:style>
  <w:style w:type="character" w:styleId="33">
    <w:name w:val="endnote reference"/>
    <w:basedOn w:val="31"/>
    <w:qFormat/>
    <w:uiPriority w:val="0"/>
    <w:rPr>
      <w:rFonts w:ascii="黑体" w:hAnsi="黑体" w:eastAsia="黑体"/>
      <w:color w:val="262626" w:themeColor="text1" w:themeTint="D9"/>
      <w:vertAlign w:val="superscript"/>
      <w14:textFill>
        <w14:solidFill>
          <w14:schemeClr w14:val="tx1">
            <w14:lumMod w14:val="85000"/>
            <w14:lumOff w14:val="15000"/>
          </w14:schemeClr>
        </w14:solidFill>
      </w14:textFill>
    </w:rPr>
  </w:style>
  <w:style w:type="character" w:styleId="34">
    <w:name w:val="page number"/>
    <w:qFormat/>
    <w:uiPriority w:val="0"/>
    <w:rPr>
      <w:rFonts w:ascii="黑体" w:hAnsi="黑体" w:eastAsia="黑体" w:cs="Times New Roman"/>
      <w:color w:val="262626" w:themeColor="text1" w:themeTint="D9"/>
      <w:spacing w:val="-6"/>
      <w:kern w:val="2"/>
      <w:sz w:val="28"/>
      <w:szCs w:val="28"/>
      <w:lang w:val="en-US" w:eastAsia="zh-CN" w:bidi="ar-SA"/>
      <w14:textFill>
        <w14:solidFill>
          <w14:schemeClr w14:val="tx1">
            <w14:lumMod w14:val="85000"/>
            <w14:lumOff w14:val="15000"/>
          </w14:schemeClr>
        </w14:solidFill>
      </w14:textFill>
    </w:rPr>
  </w:style>
  <w:style w:type="character" w:styleId="35">
    <w:name w:val="FollowedHyperlink"/>
    <w:basedOn w:val="31"/>
    <w:qFormat/>
    <w:uiPriority w:val="0"/>
    <w:rPr>
      <w:rFonts w:ascii="黑体" w:hAnsi="黑体" w:eastAsia="黑体" w:cs="Times New Roman"/>
      <w:color w:val="800080"/>
      <w:spacing w:val="-6"/>
      <w:kern w:val="2"/>
      <w:sz w:val="24"/>
      <w:szCs w:val="24"/>
      <w:u w:val="single"/>
      <w:lang w:val="en-US" w:eastAsia="zh-CN" w:bidi="ar-SA"/>
    </w:rPr>
  </w:style>
  <w:style w:type="character" w:styleId="36">
    <w:name w:val="Emphasis"/>
    <w:basedOn w:val="31"/>
    <w:qFormat/>
    <w:uiPriority w:val="20"/>
    <w:rPr>
      <w:rFonts w:ascii="Arial" w:hAnsi="Arial" w:eastAsia="黑体"/>
      <w:b/>
      <w:bCs/>
      <w:i/>
      <w:color w:val="C00000"/>
      <w:sz w:val="24"/>
      <w:szCs w:val="22"/>
    </w:rPr>
  </w:style>
  <w:style w:type="character" w:styleId="37">
    <w:name w:val="Hyperlink"/>
    <w:basedOn w:val="31"/>
    <w:qFormat/>
    <w:uiPriority w:val="0"/>
    <w:rPr>
      <w:rFonts w:ascii="黑体" w:hAnsi="黑体" w:eastAsia="黑体" w:cs="Times New Roman"/>
      <w:caps/>
      <w:color w:val="0000FF"/>
      <w:spacing w:val="-6"/>
      <w:kern w:val="2"/>
      <w:sz w:val="24"/>
      <w:szCs w:val="24"/>
      <w:u w:val="single"/>
      <w:lang w:val="en-US" w:eastAsia="zh-CN" w:bidi="ar-SA"/>
    </w:rPr>
  </w:style>
  <w:style w:type="character" w:styleId="38">
    <w:name w:val="annotation reference"/>
    <w:basedOn w:val="31"/>
    <w:qFormat/>
    <w:uiPriority w:val="0"/>
    <w:rPr>
      <w:rFonts w:ascii="黑体" w:hAnsi="黑体" w:eastAsia="黑体"/>
      <w:color w:val="262626" w:themeColor="text1" w:themeTint="D9"/>
      <w:sz w:val="21"/>
      <w:szCs w:val="21"/>
      <w14:textFill>
        <w14:solidFill>
          <w14:schemeClr w14:val="tx1">
            <w14:lumMod w14:val="85000"/>
            <w14:lumOff w14:val="15000"/>
          </w14:schemeClr>
        </w14:solidFill>
      </w14:textFill>
    </w:rPr>
  </w:style>
  <w:style w:type="character" w:styleId="39">
    <w:name w:val="footnote reference"/>
    <w:basedOn w:val="31"/>
    <w:qFormat/>
    <w:uiPriority w:val="0"/>
    <w:rPr>
      <w:rFonts w:ascii="黑体" w:hAnsi="黑体" w:eastAsia="黑体"/>
      <w:color w:val="262626" w:themeColor="text1" w:themeTint="D9"/>
      <w:vertAlign w:val="superscript"/>
      <w14:textFill>
        <w14:solidFill>
          <w14:schemeClr w14:val="tx1">
            <w14:lumMod w14:val="85000"/>
            <w14:lumOff w14:val="15000"/>
          </w14:schemeClr>
        </w14:solidFill>
      </w14:textFill>
    </w:rPr>
  </w:style>
  <w:style w:type="character" w:customStyle="1" w:styleId="40">
    <w:name w:val="标题 4 Char"/>
    <w:link w:val="6"/>
    <w:qFormat/>
    <w:uiPriority w:val="0"/>
    <w:rPr>
      <w:rFonts w:ascii="黑体" w:hAnsi="黑体" w:eastAsia="黑体" w:cstheme="minorBidi"/>
      <w:b/>
      <w:bCs/>
      <w:sz w:val="28"/>
      <w:szCs w:val="28"/>
      <w:lang w:val="en-US" w:eastAsia="zh-CN" w:bidi="ar-SA"/>
    </w:rPr>
  </w:style>
  <w:style w:type="character" w:customStyle="1" w:styleId="41">
    <w:name w:val="标题 1 Char"/>
    <w:link w:val="2"/>
    <w:qFormat/>
    <w:uiPriority w:val="0"/>
    <w:rPr>
      <w:rFonts w:ascii="黑体" w:hAnsi="黑体" w:eastAsia="黑体" w:cstheme="minorBidi"/>
      <w:b/>
      <w:bCs/>
      <w:kern w:val="44"/>
      <w:sz w:val="36"/>
      <w:szCs w:val="36"/>
      <w:lang w:val="en-US" w:eastAsia="zh-CN" w:bidi="ar-SA"/>
    </w:rPr>
  </w:style>
  <w:style w:type="character" w:customStyle="1" w:styleId="42">
    <w:name w:val="标题 2 Char"/>
    <w:link w:val="4"/>
    <w:qFormat/>
    <w:uiPriority w:val="0"/>
    <w:rPr>
      <w:rFonts w:ascii="黑体" w:hAnsi="黑体" w:eastAsia="黑体" w:cstheme="minorBidi"/>
      <w:b/>
      <w:bCs/>
      <w:kern w:val="2"/>
      <w:sz w:val="32"/>
      <w:szCs w:val="32"/>
      <w:lang w:val="en-US" w:eastAsia="zh-CN" w:bidi="ar-SA"/>
    </w:rPr>
  </w:style>
  <w:style w:type="character" w:customStyle="1" w:styleId="43">
    <w:name w:val="标题 3 Char"/>
    <w:link w:val="5"/>
    <w:qFormat/>
    <w:uiPriority w:val="0"/>
    <w:rPr>
      <w:rFonts w:ascii="黑体" w:hAnsi="黑体" w:eastAsia="黑体" w:cstheme="minorBidi"/>
      <w:b/>
      <w:bCs/>
      <w:kern w:val="2"/>
      <w:sz w:val="30"/>
      <w:szCs w:val="30"/>
      <w:lang w:val="en-US" w:eastAsia="zh-CN" w:bidi="ar-SA"/>
    </w:rPr>
  </w:style>
  <w:style w:type="character" w:customStyle="1" w:styleId="44">
    <w:name w:val="标题 5 Char"/>
    <w:link w:val="7"/>
    <w:qFormat/>
    <w:uiPriority w:val="0"/>
    <w:rPr>
      <w:rFonts w:ascii="黑体" w:hAnsi="黑体" w:eastAsia="黑体"/>
      <w:b/>
      <w:bCs/>
      <w:sz w:val="24"/>
      <w:szCs w:val="24"/>
    </w:rPr>
  </w:style>
  <w:style w:type="character" w:customStyle="1" w:styleId="45">
    <w:name w:val="标题 6 Char"/>
    <w:link w:val="8"/>
    <w:qFormat/>
    <w:uiPriority w:val="0"/>
    <w:rPr>
      <w:b/>
      <w:bCs/>
      <w:sz w:val="24"/>
      <w:szCs w:val="24"/>
    </w:rPr>
  </w:style>
  <w:style w:type="character" w:customStyle="1" w:styleId="46">
    <w:name w:val="正文文本 Char"/>
    <w:link w:val="3"/>
    <w:semiHidden/>
    <w:qFormat/>
    <w:uiPriority w:val="99"/>
    <w:rPr>
      <w:rFonts w:ascii="黑体" w:hAnsi="黑体"/>
    </w:rPr>
  </w:style>
  <w:style w:type="paragraph" w:styleId="47">
    <w:name w:val="List Paragraph"/>
    <w:basedOn w:val="1"/>
    <w:qFormat/>
    <w:uiPriority w:val="34"/>
    <w:pPr>
      <w:ind w:firstLine="420"/>
    </w:pPr>
  </w:style>
  <w:style w:type="character" w:customStyle="1" w:styleId="48">
    <w:name w:val="页眉 Char"/>
    <w:link w:val="21"/>
    <w:qFormat/>
    <w:uiPriority w:val="99"/>
    <w:rPr>
      <w:sz w:val="18"/>
      <w:szCs w:val="18"/>
    </w:rPr>
  </w:style>
  <w:style w:type="character" w:customStyle="1" w:styleId="49">
    <w:name w:val="页脚 Char"/>
    <w:link w:val="20"/>
    <w:qFormat/>
    <w:uiPriority w:val="99"/>
    <w:rPr>
      <w:sz w:val="18"/>
      <w:szCs w:val="18"/>
    </w:rPr>
  </w:style>
  <w:style w:type="paragraph" w:customStyle="1" w:styleId="50">
    <w:name w:val="null3"/>
    <w:hidden/>
    <w:qFormat/>
    <w:uiPriority w:val="0"/>
    <w:rPr>
      <w:rFonts w:hint="eastAsia" w:asciiTheme="minorHAnsi" w:hAnsiTheme="minorHAnsi" w:eastAsiaTheme="minorEastAsia" w:cstheme="minorBidi"/>
      <w:lang w:val="en-US" w:eastAsia="zh-Hans" w:bidi="ar-SA"/>
    </w:rPr>
  </w:style>
  <w:style w:type="character" w:customStyle="1" w:styleId="51">
    <w:name w:val="批注框文本 Char"/>
    <w:link w:val="19"/>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MS</Company>
  <Pages>26</Pages>
  <Words>10010</Words>
  <Characters>10527</Characters>
  <Lines>63</Lines>
  <Paragraphs>17</Paragraphs>
  <TotalTime>5</TotalTime>
  <ScaleCrop>false</ScaleCrop>
  <LinksUpToDate>false</LinksUpToDate>
  <CharactersWithSpaces>10558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2024-12-04T09:13:00Z</dcterms:created>
  <dc:creator>Administrator</dc:creator>
  <cp:lastModifiedBy>IT民工</cp:lastModifiedBy>
  <cp:lastPrinted>2023-07-24T03:18:00Z</cp:lastPrinted>
  <dcterms:modified xsi:type="dcterms:W3CDTF">2025-09-19T07:27:37Z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5198EA255B5643FA9817E4227E2053B6_13</vt:lpwstr>
  </property>
  <property fmtid="{D5CDD505-2E9C-101B-9397-08002B2CF9AE}" pid="4" name="KSOTemplateDocerSaveRecord">
    <vt:lpwstr>eyJoZGlkIjoiMTliNGVkZTNkZDcxNTczZGU2YTUyOGRmYmI4ZmYxZjUiLCJ1c2VySWQiOiIzMjcyMzc5NTEifQ==</vt:lpwstr>
  </property>
</Properties>
</file>