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C69DCE">
      <w:pPr>
        <w:pStyle w:val="3"/>
        <w:ind w:firstLine="0" w:firstLineChars="0"/>
        <w:rPr>
          <w:rFonts w:ascii="方正小标宋简体" w:hAnsi="仿宋" w:eastAsia="方正小标宋简体" w:cs="仿宋"/>
          <w:bCs/>
          <w:sz w:val="52"/>
          <w:szCs w:val="52"/>
        </w:rPr>
      </w:pPr>
      <w:bookmarkStart w:id="0" w:name="_Toc15303"/>
      <w:bookmarkStart w:id="1" w:name="_Toc15592"/>
      <w:bookmarkStart w:id="2" w:name="_Toc97726213"/>
      <w:bookmarkStart w:id="3" w:name="_Toc16853"/>
      <w:bookmarkStart w:id="4" w:name="_Toc15363"/>
      <w:bookmarkStart w:id="5" w:name="_Toc30963"/>
      <w:bookmarkStart w:id="6" w:name="_Toc28377"/>
      <w:bookmarkStart w:id="7" w:name="_Toc6976"/>
      <w:bookmarkStart w:id="8" w:name="_Toc27367"/>
      <w:bookmarkStart w:id="9" w:name="_Toc22421"/>
      <w:bookmarkStart w:id="10" w:name="_Toc26290"/>
      <w:bookmarkStart w:id="11" w:name="_Toc7658"/>
      <w:bookmarkStart w:id="12" w:name="_Toc25881"/>
      <w:bookmarkStart w:id="13" w:name="_Toc1724"/>
      <w:bookmarkStart w:id="14" w:name="_Toc10913"/>
      <w:bookmarkStart w:id="15" w:name="_Toc19386"/>
      <w:bookmarkStart w:id="16" w:name="_Toc10286"/>
      <w:bookmarkStart w:id="17" w:name="_Toc11081"/>
      <w:bookmarkStart w:id="18" w:name="_Toc15005"/>
      <w:bookmarkStart w:id="19" w:name="_Toc30657"/>
      <w:bookmarkStart w:id="20" w:name="_Toc25872"/>
    </w:p>
    <w:p w14:paraId="5B863A91">
      <w:pPr>
        <w:pStyle w:val="3"/>
        <w:ind w:firstLine="0" w:firstLineChars="0"/>
        <w:rPr>
          <w:rFonts w:ascii="方正小标宋简体" w:hAnsi="仿宋" w:eastAsia="方正小标宋简体" w:cs="仿宋"/>
          <w:bCs/>
          <w:sz w:val="52"/>
          <w:szCs w:val="52"/>
        </w:rPr>
      </w:pPr>
    </w:p>
    <w:p w14:paraId="38A92AA8">
      <w:pPr>
        <w:pStyle w:val="3"/>
        <w:ind w:firstLine="0" w:firstLineChars="0"/>
        <w:rPr>
          <w:rFonts w:ascii="方正小标宋简体" w:hAnsi="仿宋" w:eastAsia="方正小标宋简体" w:cs="仿宋"/>
          <w:bCs/>
          <w:sz w:val="52"/>
          <w:szCs w:val="52"/>
        </w:rPr>
      </w:pPr>
    </w:p>
    <w:p w14:paraId="2690919F">
      <w:pPr>
        <w:pStyle w:val="3"/>
        <w:ind w:firstLine="0" w:firstLineChars="0"/>
        <w:rPr>
          <w:rFonts w:ascii="方正小标宋简体" w:hAnsi="仿宋" w:eastAsia="方正小标宋简体" w:cs="仿宋"/>
          <w:bCs/>
          <w:sz w:val="52"/>
          <w:szCs w:val="52"/>
        </w:rPr>
      </w:pPr>
    </w:p>
    <w:p w14:paraId="15F6816D">
      <w:pPr>
        <w:pStyle w:val="3"/>
        <w:ind w:firstLine="0" w:firstLineChars="0"/>
        <w:jc w:val="center"/>
        <w:rPr>
          <w:rFonts w:ascii="方正小标宋简体" w:hAnsi="仿宋" w:eastAsia="方正小标宋简体" w:cs="仿宋"/>
          <w:bCs/>
          <w:sz w:val="52"/>
          <w:szCs w:val="52"/>
        </w:rPr>
      </w:pPr>
      <w:r>
        <w:rPr>
          <w:rFonts w:hint="eastAsia" w:ascii="方正小标宋简体" w:hAnsi="仿宋" w:eastAsia="方正小标宋简体" w:cs="仿宋"/>
          <w:bCs/>
          <w:sz w:val="52"/>
          <w:szCs w:val="52"/>
        </w:rPr>
        <w:t>阳春市中医院医共体集成平台等</w:t>
      </w:r>
      <w:r>
        <w:rPr>
          <w:rFonts w:ascii="方正小标宋简体" w:hAnsi="仿宋" w:eastAsia="方正小标宋简体" w:cs="仿宋"/>
          <w:bCs/>
          <w:sz w:val="52"/>
          <w:szCs w:val="52"/>
        </w:rPr>
        <w:br w:type="textWrapping"/>
      </w:r>
      <w:r>
        <w:rPr>
          <w:rFonts w:hint="eastAsia" w:ascii="方正小标宋简体" w:hAnsi="仿宋" w:eastAsia="方正小标宋简体" w:cs="仿宋"/>
          <w:bCs/>
          <w:sz w:val="52"/>
          <w:szCs w:val="52"/>
        </w:rPr>
        <w:t>信息系统建设</w:t>
      </w:r>
      <w:bookmarkEnd w:id="0"/>
      <w:r>
        <w:rPr>
          <w:rFonts w:hint="eastAsia" w:ascii="方正小标宋简体" w:hAnsi="仿宋" w:eastAsia="方正小标宋简体" w:cs="仿宋"/>
          <w:bCs/>
          <w:sz w:val="52"/>
          <w:szCs w:val="52"/>
          <w:lang w:val="en-US" w:eastAsia="zh-CN"/>
        </w:rPr>
        <w:t>项目</w:t>
      </w:r>
      <w:r>
        <w:rPr>
          <w:rFonts w:hint="eastAsia" w:ascii="方正小标宋简体" w:hAnsi="仿宋" w:eastAsia="方正小标宋简体" w:cs="仿宋"/>
          <w:bCs/>
          <w:sz w:val="52"/>
          <w:szCs w:val="52"/>
        </w:rPr>
        <w:t>需求书</w:t>
      </w:r>
    </w:p>
    <w:p w14:paraId="73720C78">
      <w:pPr>
        <w:ind w:firstLine="640"/>
      </w:pPr>
    </w:p>
    <w:p w14:paraId="36CCD87C">
      <w:pPr>
        <w:pStyle w:val="2"/>
        <w:ind w:firstLine="480"/>
      </w:pPr>
      <w:bookmarkStart w:id="199" w:name="_GoBack"/>
      <w:bookmarkEnd w:id="199"/>
    </w:p>
    <w:p w14:paraId="6B62A2D1">
      <w:pPr>
        <w:pStyle w:val="2"/>
        <w:ind w:firstLine="480"/>
      </w:pPr>
    </w:p>
    <w:p w14:paraId="455C1CD9">
      <w:pPr>
        <w:pStyle w:val="2"/>
        <w:ind w:firstLine="480"/>
      </w:pPr>
    </w:p>
    <w:p w14:paraId="068AD143">
      <w:pPr>
        <w:pStyle w:val="2"/>
        <w:ind w:firstLine="480"/>
      </w:pPr>
    </w:p>
    <w:p w14:paraId="0FC6154C">
      <w:pPr>
        <w:pStyle w:val="2"/>
        <w:ind w:firstLine="480"/>
      </w:pPr>
    </w:p>
    <w:p w14:paraId="2B915A5F">
      <w:pPr>
        <w:pStyle w:val="2"/>
        <w:ind w:firstLine="480"/>
      </w:pPr>
    </w:p>
    <w:p w14:paraId="0F0AD2CA">
      <w:pPr>
        <w:pStyle w:val="2"/>
        <w:ind w:firstLine="480"/>
      </w:pPr>
    </w:p>
    <w:p w14:paraId="0136079B">
      <w:pPr>
        <w:pStyle w:val="2"/>
        <w:ind w:firstLine="480"/>
        <w:rPr>
          <w:rFonts w:hint="eastAsia"/>
        </w:rPr>
      </w:pPr>
    </w:p>
    <w:p w14:paraId="2B38DC8A">
      <w:pPr>
        <w:pStyle w:val="4"/>
        <w:numPr>
          <w:ilvl w:val="0"/>
          <w:numId w:val="2"/>
        </w:numPr>
        <w:rPr>
          <w:rFonts w:hint="eastAsia" w:ascii="仿宋" w:hAnsi="仿宋" w:eastAsia="仿宋" w:cs="仿宋"/>
          <w:szCs w:val="32"/>
        </w:rPr>
      </w:pPr>
      <w:r>
        <w:rPr>
          <w:rFonts w:hint="eastAsia" w:ascii="仿宋" w:hAnsi="仿宋" w:eastAsia="仿宋" w:cs="仿宋"/>
          <w:szCs w:val="32"/>
        </w:rPr>
        <w:t>项目背景</w:t>
      </w:r>
      <w:bookmarkEnd w:id="1"/>
      <w:bookmarkEnd w:id="2"/>
      <w:bookmarkEnd w:id="3"/>
      <w:bookmarkEnd w:id="4"/>
      <w:bookmarkEnd w:id="5"/>
      <w:bookmarkEnd w:id="6"/>
      <w:bookmarkEnd w:id="7"/>
      <w:bookmarkEnd w:id="8"/>
      <w:bookmarkEnd w:id="9"/>
      <w:bookmarkEnd w:id="10"/>
      <w:bookmarkEnd w:id="11"/>
      <w:bookmarkEnd w:id="12"/>
      <w:bookmarkEnd w:id="13"/>
    </w:p>
    <w:p w14:paraId="11203126">
      <w:pPr>
        <w:ind w:firstLine="640"/>
        <w:rPr>
          <w:rFonts w:hint="eastAsia" w:ascii="仿宋" w:hAnsi="仿宋" w:cs="仿宋"/>
          <w:szCs w:val="32"/>
        </w:rPr>
      </w:pPr>
      <w:r>
        <w:rPr>
          <w:rFonts w:hint="eastAsia" w:ascii="仿宋" w:hAnsi="仿宋" w:cs="仿宋"/>
          <w:szCs w:val="32"/>
        </w:rPr>
        <w:t>为贯彻落实《中共中央国务院关于深化医药卫生体制改革的意见》，建设适应卫生改革与发展需求的信息化体系，提高卫生服务与管理水平。阳春市政府高度重视医改工作，强化市县镇村一体化管理，认真落实“没有全民健康,就没有全面小康”理念,从以治病为中心转向治已病与治未病并重,最终向以人民健康为中心转变,推进全民健康、健康阳春建设。</w:t>
      </w:r>
    </w:p>
    <w:p w14:paraId="187CC8E8">
      <w:pPr>
        <w:ind w:firstLine="640"/>
        <w:rPr>
          <w:rFonts w:hint="eastAsia" w:ascii="仿宋" w:hAnsi="仿宋" w:cs="仿宋"/>
          <w:szCs w:val="32"/>
        </w:rPr>
      </w:pPr>
      <w:r>
        <w:rPr>
          <w:rFonts w:hint="eastAsia" w:ascii="仿宋" w:hAnsi="仿宋" w:cs="仿宋"/>
          <w:szCs w:val="32"/>
        </w:rPr>
        <w:t>根据广东省深化医药卫生体制改革（建设卫生强省）领导小组关于印发《广东省深化医药卫生体制改革（建设卫生强省）领导小组关于印发广东省推广福建和省三明市深化医药卫生体制改革经验行动方案的通知》（粤医改〔2020〕1号）要求，即省市县要求全面落实党中央、国务院决策部署，认真学习借鉴福建省和三明市医改经验，建立高效有力的组织领导体制，强化政府办医主体责任，深化医疗、医保、医药联动改革，积极推进人事薪酬制度改革，以药品集中采购和使用为突破口，进一步深化医药卫生体制改革，推动卫生健康工作以治病为中心转向以人民健康为中心，着力解决群众看病就医难点堵点问题，提出下阶段八项重点工作任务，一是进一步加强医改组织领导；二是完善药品耗材集中采购改革；三是严格医疗机构绩效考核和耗材使用监管；四是建立医疗服务价格动态调整机制；五是全面推进医保精细化管理；六是加大薪酬制度改革力度。七是落实公立医院用人自主权；八是加快建立整合型医疗卫生服务体系，加快推进城市医联体和区域医共体试点工作，强化基层医防融合。</w:t>
      </w:r>
    </w:p>
    <w:p w14:paraId="7D296F08">
      <w:pPr>
        <w:ind w:firstLine="640"/>
        <w:rPr>
          <w:rFonts w:hint="eastAsia" w:ascii="仿宋" w:hAnsi="仿宋" w:cs="仿宋"/>
          <w:szCs w:val="32"/>
        </w:rPr>
      </w:pPr>
      <w:r>
        <w:rPr>
          <w:rFonts w:hint="eastAsia" w:ascii="仿宋" w:hAnsi="仿宋" w:cs="仿宋"/>
          <w:szCs w:val="32"/>
        </w:rPr>
        <w:t>为做好医疗信息建设步伐，根据阳春市创建卫生强市工作部署，进一步深化全市医药卫生体制改革，加快建立分级诊疗制度，构建整合医疗服务体系建设，完善顶层设计，健全信息化服务体系与服务能力，推进“互联网+医疗健康”，提供便民惠民服务，促进百姓医疗服务的同质化，实现市域内医院机构间数据的互联互通，加强信息安全保障，特制定本方案。</w:t>
      </w:r>
    </w:p>
    <w:p w14:paraId="7031442E">
      <w:pPr>
        <w:pStyle w:val="4"/>
        <w:numPr>
          <w:ilvl w:val="0"/>
          <w:numId w:val="2"/>
        </w:numPr>
        <w:rPr>
          <w:rFonts w:hint="eastAsia" w:ascii="仿宋" w:hAnsi="仿宋" w:eastAsia="仿宋" w:cs="仿宋"/>
          <w:szCs w:val="32"/>
        </w:rPr>
      </w:pPr>
      <w:bookmarkStart w:id="21" w:name="_Toc16032"/>
      <w:bookmarkStart w:id="22" w:name="_Toc16572"/>
      <w:bookmarkStart w:id="23" w:name="_Toc24462"/>
      <w:bookmarkStart w:id="24" w:name="_Toc16972"/>
      <w:bookmarkStart w:id="25" w:name="_Toc127"/>
      <w:bookmarkStart w:id="26" w:name="_Toc23071"/>
      <w:bookmarkStart w:id="27" w:name="_Toc13352"/>
      <w:bookmarkStart w:id="28" w:name="_Toc27147"/>
      <w:bookmarkStart w:id="29" w:name="_Toc24384"/>
      <w:bookmarkStart w:id="30" w:name="_Toc15284"/>
      <w:bookmarkStart w:id="31" w:name="_Toc21828"/>
      <w:bookmarkStart w:id="32" w:name="_Toc97726211"/>
      <w:bookmarkStart w:id="33" w:name="_Toc22164"/>
      <w:r>
        <w:rPr>
          <w:rFonts w:hint="eastAsia" w:ascii="仿宋" w:hAnsi="仿宋" w:eastAsia="仿宋" w:cs="仿宋"/>
          <w:szCs w:val="32"/>
        </w:rPr>
        <w:t>服务依据</w:t>
      </w:r>
      <w:bookmarkEnd w:id="21"/>
      <w:bookmarkEnd w:id="22"/>
      <w:bookmarkEnd w:id="23"/>
      <w:bookmarkEnd w:id="24"/>
      <w:bookmarkEnd w:id="25"/>
      <w:bookmarkEnd w:id="26"/>
      <w:bookmarkEnd w:id="27"/>
      <w:bookmarkEnd w:id="28"/>
      <w:bookmarkEnd w:id="29"/>
      <w:bookmarkEnd w:id="30"/>
      <w:bookmarkEnd w:id="31"/>
      <w:bookmarkEnd w:id="32"/>
      <w:bookmarkEnd w:id="33"/>
    </w:p>
    <w:p w14:paraId="6F8829E1">
      <w:pPr>
        <w:numPr>
          <w:ilvl w:val="0"/>
          <w:numId w:val="3"/>
        </w:numPr>
        <w:ind w:firstLine="640"/>
        <w:rPr>
          <w:rFonts w:hint="eastAsia" w:ascii="仿宋" w:hAnsi="仿宋" w:cs="仿宋"/>
          <w:bCs/>
          <w:szCs w:val="32"/>
        </w:rPr>
      </w:pPr>
      <w:r>
        <w:rPr>
          <w:rFonts w:hint="eastAsia" w:ascii="仿宋" w:hAnsi="仿宋" w:cs="仿宋"/>
          <w:bCs/>
          <w:szCs w:val="32"/>
        </w:rPr>
        <w:t>“健康中国 2030”规划纲要</w:t>
      </w:r>
    </w:p>
    <w:p w14:paraId="3F3FB2B3">
      <w:pPr>
        <w:numPr>
          <w:ilvl w:val="0"/>
          <w:numId w:val="3"/>
        </w:numPr>
        <w:ind w:firstLine="640"/>
        <w:rPr>
          <w:rFonts w:hint="eastAsia" w:ascii="仿宋" w:hAnsi="仿宋" w:cs="仿宋"/>
          <w:bCs/>
          <w:szCs w:val="32"/>
        </w:rPr>
      </w:pPr>
      <w:r>
        <w:rPr>
          <w:rFonts w:hint="eastAsia" w:ascii="仿宋" w:hAnsi="仿宋" w:cs="仿宋"/>
          <w:bCs/>
          <w:szCs w:val="32"/>
        </w:rPr>
        <w:t>《国务院深化医药卫生体制改革领导小组&lt;关于进一步推广深化医药卫生体制&gt;改革经验的若干意见》</w:t>
      </w:r>
    </w:p>
    <w:p w14:paraId="362DEDE6">
      <w:pPr>
        <w:numPr>
          <w:ilvl w:val="0"/>
          <w:numId w:val="3"/>
        </w:numPr>
        <w:ind w:firstLine="640"/>
        <w:rPr>
          <w:rFonts w:hint="eastAsia" w:ascii="仿宋" w:hAnsi="仿宋" w:cs="仿宋"/>
          <w:bCs/>
          <w:szCs w:val="32"/>
        </w:rPr>
      </w:pPr>
      <w:r>
        <w:rPr>
          <w:rFonts w:hint="eastAsia" w:ascii="仿宋" w:hAnsi="仿宋" w:cs="仿宋"/>
          <w:bCs/>
          <w:szCs w:val="32"/>
        </w:rPr>
        <w:t>《关于推进医疗联合体建设和发展的指导意见》（国办发[2017]32号）</w:t>
      </w:r>
    </w:p>
    <w:p w14:paraId="2923BDC1">
      <w:pPr>
        <w:numPr>
          <w:ilvl w:val="0"/>
          <w:numId w:val="3"/>
        </w:numPr>
        <w:ind w:firstLine="640"/>
        <w:rPr>
          <w:rFonts w:hint="eastAsia" w:ascii="仿宋" w:hAnsi="仿宋" w:cs="仿宋"/>
          <w:bCs/>
          <w:szCs w:val="32"/>
        </w:rPr>
      </w:pPr>
      <w:r>
        <w:rPr>
          <w:rFonts w:hint="eastAsia" w:ascii="仿宋" w:hAnsi="仿宋" w:cs="仿宋"/>
          <w:bCs/>
          <w:szCs w:val="32"/>
        </w:rPr>
        <w:t>《关于促进“互联网+医疗健康”发展的意见》（国办发[2018]26号）</w:t>
      </w:r>
    </w:p>
    <w:p w14:paraId="4170B06A">
      <w:pPr>
        <w:numPr>
          <w:ilvl w:val="0"/>
          <w:numId w:val="3"/>
        </w:numPr>
        <w:ind w:firstLine="640"/>
        <w:rPr>
          <w:rFonts w:hint="eastAsia" w:ascii="仿宋" w:hAnsi="仿宋" w:cs="仿宋"/>
          <w:bCs/>
          <w:szCs w:val="32"/>
        </w:rPr>
      </w:pPr>
      <w:r>
        <w:rPr>
          <w:rFonts w:hint="eastAsia" w:ascii="仿宋" w:hAnsi="仿宋" w:cs="仿宋"/>
          <w:bCs/>
          <w:szCs w:val="32"/>
        </w:rPr>
        <w:t>《关于深入开展“互联网+医疗健康”便民惠民活动的通知》（国卫规划发[2018]22号）</w:t>
      </w:r>
    </w:p>
    <w:p w14:paraId="0513F841">
      <w:pPr>
        <w:numPr>
          <w:ilvl w:val="0"/>
          <w:numId w:val="3"/>
        </w:numPr>
        <w:ind w:firstLine="640"/>
        <w:rPr>
          <w:rFonts w:hint="eastAsia" w:ascii="仿宋" w:hAnsi="仿宋" w:cs="仿宋"/>
          <w:bCs/>
          <w:szCs w:val="32"/>
        </w:rPr>
      </w:pPr>
      <w:r>
        <w:rPr>
          <w:rFonts w:hint="eastAsia" w:ascii="仿宋" w:hAnsi="仿宋" w:cs="仿宋"/>
          <w:bCs/>
          <w:szCs w:val="32"/>
        </w:rPr>
        <w:t>《关于进一步推进以电子病历为核心的医疗机构信息化建设工作的通知》（国卫办医发[2018]20号）</w:t>
      </w:r>
    </w:p>
    <w:p w14:paraId="3205DDE3">
      <w:pPr>
        <w:numPr>
          <w:ilvl w:val="0"/>
          <w:numId w:val="3"/>
        </w:numPr>
        <w:ind w:firstLine="640"/>
        <w:rPr>
          <w:rFonts w:hint="eastAsia" w:ascii="仿宋" w:hAnsi="仿宋" w:cs="仿宋"/>
          <w:bCs/>
          <w:szCs w:val="32"/>
        </w:rPr>
      </w:pPr>
      <w:r>
        <w:rPr>
          <w:rFonts w:hint="eastAsia" w:ascii="仿宋" w:hAnsi="仿宋" w:cs="仿宋"/>
          <w:bCs/>
          <w:szCs w:val="32"/>
        </w:rPr>
        <w:t>《国家卫生健康委办公厅关于印发医院智慧服务分级评估标准体系（试行）的通知》（国卫办医函〔2019〕236号）</w:t>
      </w:r>
    </w:p>
    <w:p w14:paraId="1B310C86">
      <w:pPr>
        <w:numPr>
          <w:ilvl w:val="0"/>
          <w:numId w:val="3"/>
        </w:numPr>
        <w:ind w:firstLine="640"/>
        <w:rPr>
          <w:rFonts w:hint="eastAsia" w:ascii="仿宋" w:hAnsi="仿宋" w:cs="仿宋"/>
          <w:bCs/>
          <w:szCs w:val="32"/>
        </w:rPr>
      </w:pPr>
      <w:r>
        <w:rPr>
          <w:rFonts w:hint="eastAsia" w:ascii="仿宋" w:hAnsi="仿宋" w:cs="仿宋"/>
          <w:bCs/>
          <w:szCs w:val="32"/>
        </w:rPr>
        <w:t>《全国医院信息化建设标准与规范（试行）》</w:t>
      </w:r>
    </w:p>
    <w:p w14:paraId="68306BC4">
      <w:pPr>
        <w:numPr>
          <w:ilvl w:val="0"/>
          <w:numId w:val="3"/>
        </w:numPr>
        <w:ind w:firstLine="640"/>
        <w:rPr>
          <w:rFonts w:hint="eastAsia" w:ascii="仿宋" w:hAnsi="仿宋" w:cs="仿宋"/>
          <w:bCs/>
          <w:szCs w:val="32"/>
        </w:rPr>
      </w:pPr>
      <w:r>
        <w:rPr>
          <w:rFonts w:hint="eastAsia" w:ascii="仿宋" w:hAnsi="仿宋" w:cs="仿宋"/>
          <w:bCs/>
          <w:szCs w:val="32"/>
        </w:rPr>
        <w:t>《医院信息化建设应用技术指引》</w:t>
      </w:r>
    </w:p>
    <w:p w14:paraId="696017DE">
      <w:pPr>
        <w:numPr>
          <w:ilvl w:val="0"/>
          <w:numId w:val="3"/>
        </w:numPr>
        <w:ind w:firstLine="640"/>
        <w:rPr>
          <w:rFonts w:hint="eastAsia" w:ascii="仿宋" w:hAnsi="仿宋" w:cs="仿宋"/>
          <w:bCs/>
          <w:szCs w:val="32"/>
        </w:rPr>
      </w:pPr>
      <w:r>
        <w:rPr>
          <w:rFonts w:hint="eastAsia" w:ascii="仿宋" w:hAnsi="仿宋" w:cs="仿宋"/>
          <w:bCs/>
          <w:szCs w:val="32"/>
        </w:rPr>
        <w:t>《医院智慧服务分级评估标准体系（试行）》</w:t>
      </w:r>
    </w:p>
    <w:p w14:paraId="36383550">
      <w:pPr>
        <w:numPr>
          <w:ilvl w:val="0"/>
          <w:numId w:val="3"/>
        </w:numPr>
        <w:ind w:firstLine="640"/>
        <w:rPr>
          <w:rFonts w:hint="eastAsia" w:ascii="仿宋" w:hAnsi="仿宋" w:cs="仿宋"/>
          <w:bCs/>
          <w:szCs w:val="32"/>
        </w:rPr>
      </w:pPr>
      <w:r>
        <w:rPr>
          <w:rFonts w:hint="eastAsia" w:ascii="仿宋" w:hAnsi="仿宋" w:cs="仿宋"/>
          <w:bCs/>
          <w:szCs w:val="32"/>
        </w:rPr>
        <w:t>《电子病历系统功能应用水平分级评价方法及标准》</w:t>
      </w:r>
    </w:p>
    <w:p w14:paraId="1D5988EC">
      <w:pPr>
        <w:numPr>
          <w:ilvl w:val="0"/>
          <w:numId w:val="3"/>
        </w:numPr>
        <w:ind w:firstLine="640"/>
        <w:rPr>
          <w:rFonts w:hint="eastAsia" w:ascii="仿宋" w:hAnsi="仿宋" w:cs="仿宋"/>
          <w:bCs/>
          <w:szCs w:val="32"/>
        </w:rPr>
      </w:pPr>
      <w:r>
        <w:rPr>
          <w:rFonts w:hint="eastAsia" w:ascii="仿宋" w:hAnsi="仿宋" w:cs="仿宋"/>
          <w:bCs/>
          <w:szCs w:val="32"/>
        </w:rPr>
        <w:t>《基于电子病历的医院信息平台技术规范》</w:t>
      </w:r>
    </w:p>
    <w:p w14:paraId="2E584D39">
      <w:pPr>
        <w:numPr>
          <w:ilvl w:val="0"/>
          <w:numId w:val="3"/>
        </w:numPr>
        <w:ind w:firstLine="640"/>
        <w:rPr>
          <w:rFonts w:hint="eastAsia" w:ascii="仿宋" w:hAnsi="仿宋" w:cs="仿宋"/>
          <w:bCs/>
          <w:szCs w:val="32"/>
        </w:rPr>
      </w:pPr>
      <w:r>
        <w:rPr>
          <w:rFonts w:hint="eastAsia" w:ascii="仿宋" w:hAnsi="仿宋" w:cs="仿宋"/>
          <w:bCs/>
          <w:szCs w:val="32"/>
        </w:rPr>
        <w:t>《全国基层医疗卫生机构信息化建设标准与规范》</w:t>
      </w:r>
    </w:p>
    <w:p w14:paraId="3718F2D2">
      <w:pPr>
        <w:numPr>
          <w:ilvl w:val="0"/>
          <w:numId w:val="3"/>
        </w:numPr>
        <w:ind w:firstLine="640"/>
        <w:rPr>
          <w:rFonts w:hint="eastAsia" w:ascii="仿宋" w:hAnsi="仿宋" w:cs="仿宋"/>
          <w:bCs/>
          <w:szCs w:val="32"/>
        </w:rPr>
      </w:pPr>
      <w:r>
        <w:rPr>
          <w:rFonts w:hint="eastAsia" w:ascii="仿宋" w:hAnsi="仿宋" w:cs="仿宋"/>
          <w:bCs/>
          <w:szCs w:val="32"/>
        </w:rPr>
        <w:t>中华人民共和国卫生行业标准-卫生信息数据元值域代码(WS364(1-17)-2011)</w:t>
      </w:r>
    </w:p>
    <w:p w14:paraId="49FF3DF1">
      <w:pPr>
        <w:numPr>
          <w:ilvl w:val="0"/>
          <w:numId w:val="3"/>
        </w:numPr>
        <w:ind w:firstLine="640"/>
        <w:rPr>
          <w:rFonts w:hint="eastAsia" w:ascii="仿宋" w:hAnsi="仿宋" w:cs="仿宋"/>
          <w:bCs/>
          <w:szCs w:val="32"/>
        </w:rPr>
      </w:pPr>
      <w:r>
        <w:rPr>
          <w:rFonts w:hint="eastAsia" w:ascii="仿宋" w:hAnsi="仿宋" w:cs="仿宋"/>
          <w:bCs/>
          <w:szCs w:val="32"/>
        </w:rPr>
        <w:t>WS445.(1-17)-2014电子病历基本数据集</w:t>
      </w:r>
    </w:p>
    <w:p w14:paraId="53549F3B">
      <w:pPr>
        <w:numPr>
          <w:ilvl w:val="0"/>
          <w:numId w:val="3"/>
        </w:numPr>
        <w:ind w:firstLine="640"/>
        <w:rPr>
          <w:rFonts w:hint="eastAsia" w:ascii="仿宋" w:hAnsi="仿宋" w:cs="仿宋"/>
          <w:bCs/>
          <w:szCs w:val="32"/>
        </w:rPr>
      </w:pPr>
      <w:r>
        <w:rPr>
          <w:rFonts w:hint="eastAsia" w:ascii="仿宋" w:hAnsi="仿宋" w:cs="仿宋"/>
          <w:bCs/>
          <w:szCs w:val="32"/>
        </w:rPr>
        <w:t>WST 500.(1-53)-2016 电子病历共享文档规范</w:t>
      </w:r>
    </w:p>
    <w:p w14:paraId="4C82219A">
      <w:pPr>
        <w:numPr>
          <w:ilvl w:val="0"/>
          <w:numId w:val="3"/>
        </w:numPr>
        <w:ind w:firstLine="640"/>
        <w:rPr>
          <w:rFonts w:hint="eastAsia" w:ascii="仿宋" w:hAnsi="仿宋" w:cs="仿宋"/>
          <w:bCs/>
          <w:szCs w:val="32"/>
        </w:rPr>
      </w:pPr>
      <w:r>
        <w:rPr>
          <w:rFonts w:hint="eastAsia" w:ascii="仿宋" w:hAnsi="仿宋" w:cs="仿宋"/>
          <w:bCs/>
          <w:szCs w:val="32"/>
        </w:rPr>
        <w:t>国家医疗健康信息医院信息互联互通标准化成熟度测评方案（2017年版）《远程医疗服务管理规范（试行）》</w:t>
      </w:r>
    </w:p>
    <w:p w14:paraId="0B77D7F7">
      <w:pPr>
        <w:numPr>
          <w:ilvl w:val="0"/>
          <w:numId w:val="3"/>
        </w:numPr>
        <w:ind w:firstLine="640"/>
        <w:rPr>
          <w:rFonts w:hint="eastAsia" w:ascii="仿宋" w:hAnsi="仿宋" w:cs="仿宋"/>
          <w:bCs/>
          <w:szCs w:val="32"/>
        </w:rPr>
      </w:pPr>
      <w:r>
        <w:rPr>
          <w:rFonts w:hint="eastAsia" w:ascii="仿宋" w:hAnsi="仿宋" w:cs="仿宋"/>
          <w:bCs/>
          <w:szCs w:val="32"/>
        </w:rPr>
        <w:t>《互联网诊疗管理办法（试行）》</w:t>
      </w:r>
    </w:p>
    <w:p w14:paraId="3647320F">
      <w:pPr>
        <w:numPr>
          <w:ilvl w:val="0"/>
          <w:numId w:val="3"/>
        </w:numPr>
        <w:ind w:firstLine="640"/>
        <w:rPr>
          <w:rFonts w:hint="eastAsia" w:ascii="仿宋" w:hAnsi="仿宋" w:cs="仿宋"/>
          <w:bCs/>
          <w:szCs w:val="32"/>
        </w:rPr>
      </w:pPr>
      <w:r>
        <w:rPr>
          <w:rFonts w:hint="eastAsia" w:ascii="仿宋" w:hAnsi="仿宋" w:cs="仿宋"/>
          <w:bCs/>
          <w:szCs w:val="32"/>
        </w:rPr>
        <w:t>《互联网医院管理办法（试行）》</w:t>
      </w:r>
    </w:p>
    <w:p w14:paraId="138F6D55">
      <w:pPr>
        <w:numPr>
          <w:ilvl w:val="0"/>
          <w:numId w:val="3"/>
        </w:numPr>
        <w:ind w:firstLine="640"/>
        <w:rPr>
          <w:rFonts w:hint="eastAsia" w:ascii="仿宋" w:hAnsi="仿宋" w:cs="仿宋"/>
          <w:bCs/>
          <w:szCs w:val="32"/>
        </w:rPr>
      </w:pPr>
      <w:r>
        <w:rPr>
          <w:rFonts w:hint="eastAsia" w:ascii="仿宋" w:hAnsi="仿宋" w:cs="仿宋"/>
          <w:bCs/>
          <w:szCs w:val="32"/>
        </w:rPr>
        <w:t>《关于印发进一步改善医疗服务行动计划（2018－2020年）的通知》（国卫医发〔2017〕73号）</w:t>
      </w:r>
    </w:p>
    <w:p w14:paraId="040A220F">
      <w:pPr>
        <w:numPr>
          <w:ilvl w:val="0"/>
          <w:numId w:val="3"/>
        </w:numPr>
        <w:ind w:firstLine="640"/>
        <w:rPr>
          <w:rFonts w:hint="eastAsia" w:ascii="仿宋" w:hAnsi="仿宋" w:cs="仿宋"/>
          <w:bCs/>
          <w:szCs w:val="32"/>
        </w:rPr>
      </w:pPr>
      <w:r>
        <w:rPr>
          <w:rFonts w:hint="eastAsia" w:ascii="仿宋" w:hAnsi="仿宋" w:cs="仿宋"/>
          <w:bCs/>
          <w:szCs w:val="32"/>
        </w:rPr>
        <w:t>《信息安全等级保护管理办法》(公通字〔2007〕43号)</w:t>
      </w:r>
    </w:p>
    <w:p w14:paraId="2F131A46">
      <w:pPr>
        <w:numPr>
          <w:ilvl w:val="0"/>
          <w:numId w:val="3"/>
        </w:numPr>
        <w:ind w:firstLine="640"/>
        <w:rPr>
          <w:rFonts w:hint="eastAsia" w:ascii="仿宋" w:hAnsi="仿宋" w:cs="仿宋"/>
          <w:bCs/>
          <w:szCs w:val="32"/>
        </w:rPr>
      </w:pPr>
      <w:r>
        <w:rPr>
          <w:rFonts w:hint="eastAsia" w:ascii="仿宋" w:hAnsi="仿宋" w:cs="仿宋"/>
          <w:bCs/>
          <w:szCs w:val="32"/>
        </w:rPr>
        <w:t>《网络安全等级保护基本要求》GB/T 22239-2019（俗称等保2.0）</w:t>
      </w:r>
    </w:p>
    <w:p w14:paraId="4DF6429D">
      <w:pPr>
        <w:numPr>
          <w:ilvl w:val="0"/>
          <w:numId w:val="3"/>
        </w:numPr>
        <w:ind w:firstLine="640"/>
        <w:rPr>
          <w:rFonts w:hint="eastAsia" w:ascii="仿宋" w:hAnsi="仿宋" w:cs="仿宋"/>
          <w:bCs/>
          <w:szCs w:val="32"/>
        </w:rPr>
      </w:pPr>
      <w:r>
        <w:rPr>
          <w:rFonts w:hint="eastAsia" w:ascii="仿宋" w:hAnsi="仿宋" w:cs="仿宋"/>
          <w:bCs/>
          <w:szCs w:val="32"/>
        </w:rPr>
        <w:t>《关于推进紧密型区域医疗卫生共同体建设的通知》（国卫基层函〔2019〕121号）</w:t>
      </w:r>
    </w:p>
    <w:p w14:paraId="1FC5CEC3">
      <w:pPr>
        <w:numPr>
          <w:ilvl w:val="0"/>
          <w:numId w:val="3"/>
        </w:numPr>
        <w:ind w:firstLine="640"/>
        <w:rPr>
          <w:rFonts w:hint="eastAsia" w:ascii="仿宋" w:hAnsi="仿宋" w:cs="仿宋"/>
          <w:bCs/>
          <w:szCs w:val="32"/>
        </w:rPr>
      </w:pPr>
      <w:r>
        <w:rPr>
          <w:rFonts w:hint="eastAsia" w:ascii="仿宋" w:hAnsi="仿宋" w:cs="仿宋"/>
          <w:bCs/>
          <w:szCs w:val="32"/>
        </w:rPr>
        <w:t>《广东省加强紧密型区域医疗卫生共同体建设指南》(粤卫办〔2020〕2 号)</w:t>
      </w:r>
    </w:p>
    <w:p w14:paraId="52E2144E">
      <w:pPr>
        <w:numPr>
          <w:ilvl w:val="0"/>
          <w:numId w:val="3"/>
        </w:numPr>
        <w:ind w:firstLine="640"/>
        <w:rPr>
          <w:rFonts w:hint="eastAsia" w:ascii="仿宋" w:hAnsi="仿宋" w:cs="仿宋"/>
          <w:bCs/>
          <w:szCs w:val="32"/>
        </w:rPr>
      </w:pPr>
      <w:r>
        <w:rPr>
          <w:rFonts w:hint="eastAsia" w:ascii="仿宋" w:hAnsi="仿宋" w:cs="仿宋"/>
          <w:bCs/>
          <w:szCs w:val="32"/>
        </w:rPr>
        <w:t>《广东省紧密型区域医疗卫生共同体慢病管理中心运行指南（试行）等15个指南的通知》(粤卫基层函〔2020〕3 号)</w:t>
      </w:r>
    </w:p>
    <w:p w14:paraId="234E87C8">
      <w:pPr>
        <w:numPr>
          <w:ilvl w:val="0"/>
          <w:numId w:val="3"/>
        </w:numPr>
        <w:ind w:firstLine="640"/>
        <w:rPr>
          <w:rFonts w:hint="eastAsia" w:ascii="仿宋" w:hAnsi="仿宋" w:cs="仿宋"/>
          <w:bCs/>
          <w:szCs w:val="32"/>
        </w:rPr>
      </w:pPr>
      <w:r>
        <w:rPr>
          <w:rFonts w:hint="eastAsia" w:ascii="仿宋" w:hAnsi="仿宋" w:cs="仿宋"/>
          <w:bCs/>
          <w:szCs w:val="32"/>
        </w:rPr>
        <w:t>《广东省人民政府办公厅关于印发广东省加强紧密型区域医疗卫生共同体建设实施方案的通知》（粤府办〔2019〕18号）</w:t>
      </w:r>
    </w:p>
    <w:p w14:paraId="5876CC8D">
      <w:pPr>
        <w:numPr>
          <w:ilvl w:val="0"/>
          <w:numId w:val="3"/>
        </w:numPr>
        <w:ind w:firstLine="640"/>
        <w:rPr>
          <w:rFonts w:hint="eastAsia" w:ascii="仿宋" w:hAnsi="仿宋" w:cs="仿宋"/>
          <w:bCs/>
          <w:szCs w:val="32"/>
        </w:rPr>
      </w:pPr>
      <w:r>
        <w:rPr>
          <w:rFonts w:hint="eastAsia" w:ascii="仿宋" w:hAnsi="仿宋" w:cs="仿宋"/>
          <w:bCs/>
          <w:szCs w:val="32"/>
        </w:rPr>
        <w:t>《广东省深化医药卫生体制改革（建设卫生强省）领导小组关于印发广东省推广福建和省三明市深化医药卫生体制改革经验行动方案的通知》(粤医改〔2020〕1号)</w:t>
      </w:r>
    </w:p>
    <w:p w14:paraId="1EC5A0F6">
      <w:pPr>
        <w:numPr>
          <w:ilvl w:val="0"/>
          <w:numId w:val="3"/>
        </w:numPr>
        <w:ind w:firstLine="640"/>
        <w:rPr>
          <w:rFonts w:hint="eastAsia" w:ascii="仿宋" w:hAnsi="仿宋" w:cs="仿宋"/>
          <w:bCs/>
          <w:szCs w:val="32"/>
        </w:rPr>
      </w:pPr>
      <w:r>
        <w:rPr>
          <w:rFonts w:hint="eastAsia" w:ascii="仿宋" w:hAnsi="仿宋" w:cs="仿宋"/>
          <w:bCs/>
          <w:szCs w:val="32"/>
        </w:rPr>
        <w:t>《广东省紧密型区域医疗卫生共同体建设绩效评价工作方案（试行）》（粤卫基层函〔2020〕10号）</w:t>
      </w:r>
    </w:p>
    <w:p w14:paraId="3844B957">
      <w:pPr>
        <w:numPr>
          <w:ilvl w:val="0"/>
          <w:numId w:val="3"/>
        </w:numPr>
        <w:ind w:firstLine="640"/>
        <w:rPr>
          <w:rFonts w:hint="eastAsia" w:ascii="仿宋" w:hAnsi="仿宋" w:cs="仿宋"/>
          <w:bCs/>
          <w:szCs w:val="32"/>
        </w:rPr>
      </w:pPr>
      <w:r>
        <w:rPr>
          <w:rFonts w:hint="eastAsia" w:ascii="仿宋" w:hAnsi="仿宋" w:cs="仿宋"/>
          <w:bCs/>
          <w:szCs w:val="32"/>
        </w:rPr>
        <w:t>《广东省卫生健康委 广东医保局 广东省中医药局关于加快推进医疗联合体建设的通知》（粤卫函〔2019〕834号）</w:t>
      </w:r>
    </w:p>
    <w:p w14:paraId="57FD35DF">
      <w:pPr>
        <w:pStyle w:val="2"/>
        <w:ind w:firstLine="640"/>
        <w:rPr>
          <w:rFonts w:hint="eastAsia" w:ascii="仿宋" w:hAnsi="仿宋" w:eastAsia="仿宋" w:cs="仿宋"/>
          <w:bCs/>
          <w:sz w:val="32"/>
          <w:szCs w:val="32"/>
        </w:rPr>
      </w:pPr>
      <w:r>
        <w:rPr>
          <w:rFonts w:hint="eastAsia" w:ascii="仿宋" w:hAnsi="仿宋" w:eastAsia="仿宋" w:cs="仿宋"/>
          <w:bCs/>
          <w:sz w:val="32"/>
          <w:szCs w:val="32"/>
        </w:rPr>
        <w:t>《广州市卫生健康委员会关于印发广州市城市医疗联合体试点工作方案的通知》（穗卫医政〔2019〕18号）</w:t>
      </w:r>
    </w:p>
    <w:p w14:paraId="7F0BB622">
      <w:pPr>
        <w:pStyle w:val="4"/>
        <w:numPr>
          <w:ilvl w:val="0"/>
          <w:numId w:val="2"/>
        </w:numPr>
        <w:rPr>
          <w:rFonts w:hint="eastAsia" w:ascii="仿宋" w:hAnsi="仿宋" w:eastAsia="仿宋" w:cs="仿宋"/>
          <w:szCs w:val="32"/>
        </w:rPr>
      </w:pPr>
      <w:bookmarkStart w:id="34" w:name="_Toc14517"/>
      <w:bookmarkStart w:id="35" w:name="_Toc25120"/>
      <w:bookmarkStart w:id="36" w:name="_Toc29540"/>
      <w:bookmarkStart w:id="37" w:name="_Toc2223"/>
      <w:bookmarkStart w:id="38" w:name="_Toc31363"/>
      <w:bookmarkStart w:id="39" w:name="_Toc11647"/>
      <w:bookmarkStart w:id="40" w:name="_Toc29042"/>
      <w:bookmarkStart w:id="41" w:name="_Toc5909"/>
      <w:bookmarkStart w:id="42" w:name="_Toc1194"/>
      <w:bookmarkStart w:id="43" w:name="_Toc97726214"/>
      <w:bookmarkStart w:id="44" w:name="_Toc1923"/>
      <w:bookmarkStart w:id="45" w:name="_Toc10918"/>
      <w:bookmarkStart w:id="46" w:name="_Toc2499"/>
      <w:bookmarkStart w:id="47" w:name="_Toc1290"/>
      <w:r>
        <w:rPr>
          <w:rFonts w:hint="eastAsia" w:ascii="仿宋" w:hAnsi="仿宋" w:eastAsia="仿宋" w:cs="仿宋"/>
          <w:szCs w:val="32"/>
        </w:rPr>
        <w:t>建设目标</w:t>
      </w:r>
      <w:bookmarkEnd w:id="34"/>
      <w:bookmarkEnd w:id="35"/>
      <w:bookmarkEnd w:id="36"/>
      <w:bookmarkEnd w:id="37"/>
      <w:bookmarkEnd w:id="38"/>
      <w:bookmarkEnd w:id="39"/>
      <w:bookmarkEnd w:id="40"/>
      <w:bookmarkEnd w:id="41"/>
      <w:bookmarkEnd w:id="42"/>
      <w:bookmarkEnd w:id="43"/>
      <w:bookmarkEnd w:id="44"/>
      <w:bookmarkEnd w:id="45"/>
      <w:bookmarkEnd w:id="46"/>
    </w:p>
    <w:p w14:paraId="724D126D">
      <w:pPr>
        <w:ind w:firstLine="640"/>
        <w:rPr>
          <w:rFonts w:hint="eastAsia" w:ascii="仿宋" w:hAnsi="仿宋" w:cs="仿宋"/>
          <w:szCs w:val="32"/>
        </w:rPr>
      </w:pPr>
      <w:r>
        <w:rPr>
          <w:rFonts w:hint="eastAsia" w:ascii="仿宋" w:hAnsi="仿宋" w:cs="仿宋"/>
          <w:szCs w:val="32"/>
        </w:rPr>
        <w:t>围绕着以“人民健康为中心”拓展市、区（镇）、村（社区）三级信息化应用，坚持党对医疗事业的领导，坚持政府办医理念，坚持管办分开，统筹规划、统一部署，突出区域内医疗协同服务能力，有效整合和共享区域内的医疗卫生资源，实现医共体的业务共通、服务共通、管理共通、信息共通，强化医疗机构医疗业务综合能力，补充基层医疗机构信息化应用，延伸公共卫生入户信息化建设，从而实现延伸县级医院优质医疗服务能力下基层、促进医疗医疗机构服务能力提升，形成同病同治同质的医疗体系。同时注重引入“互联网+医疗”、人工智能及大数据应用技术，融入“预防为主、防治结合”的全民健康促进意识，加强居民健康管理服务体系建设，提升广大群众就诊满意度与获得感，形成具有特色的医共体样板工程。具体目标包括：</w:t>
      </w:r>
    </w:p>
    <w:p w14:paraId="44CF8270">
      <w:pPr>
        <w:pStyle w:val="4"/>
        <w:ind w:left="575" w:hanging="575"/>
      </w:pPr>
      <w:bookmarkStart w:id="48" w:name="_Toc97726216"/>
      <w:bookmarkStart w:id="49" w:name="_Toc1063"/>
      <w:r>
        <w:rPr>
          <w:rFonts w:hint="eastAsia"/>
        </w:rPr>
        <w:t>提升区域医疗卫生服务能力</w:t>
      </w:r>
      <w:bookmarkEnd w:id="48"/>
      <w:bookmarkEnd w:id="49"/>
    </w:p>
    <w:p w14:paraId="755D1DB6">
      <w:pPr>
        <w:ind w:firstLine="640"/>
        <w:rPr>
          <w:rFonts w:hint="eastAsia" w:ascii="仿宋" w:hAnsi="仿宋" w:cs="仿宋"/>
          <w:szCs w:val="32"/>
        </w:rPr>
      </w:pPr>
      <w:r>
        <w:rPr>
          <w:rFonts w:hint="eastAsia" w:ascii="仿宋" w:hAnsi="仿宋" w:cs="仿宋"/>
          <w:szCs w:val="32"/>
        </w:rPr>
        <w:t>通过基层医疗卫生信息系统、区域检查检验、分级诊疗、居民健康档案、区域、医共体综合监管平台系统的建设，均衡区域内的优质医疗卫生资源，盘活医疗资源，带动服务能力的均衡发展，建立医共体内的业务协作体系，促进区域内检查检验结果互认，避免重复检查，减少医疗资源浪费，减轻医保基金压力，减轻患者负担。做实做细家庭医生签约服务，健康管理服务，创新医疗服务模式，打造连续服务闭环服务，强化公共卫生服务水平。持续强化基层医疗服务能力、加强基层医疗质量管理。</w:t>
      </w:r>
    </w:p>
    <w:p w14:paraId="03E3C795">
      <w:pPr>
        <w:pStyle w:val="4"/>
        <w:ind w:left="575" w:hanging="575"/>
      </w:pPr>
      <w:bookmarkStart w:id="50" w:name="_Toc97726217"/>
      <w:bookmarkStart w:id="51" w:name="_Toc26276"/>
      <w:r>
        <w:rPr>
          <w:rFonts w:hint="eastAsia"/>
        </w:rPr>
        <w:t>落实分级诊疗制度</w:t>
      </w:r>
      <w:bookmarkEnd w:id="50"/>
      <w:bookmarkEnd w:id="51"/>
    </w:p>
    <w:p w14:paraId="3363AA4D">
      <w:pPr>
        <w:ind w:firstLine="640"/>
        <w:rPr>
          <w:rFonts w:hint="eastAsia" w:ascii="仿宋" w:hAnsi="仿宋" w:cs="仿宋"/>
          <w:szCs w:val="32"/>
        </w:rPr>
      </w:pPr>
      <w:r>
        <w:rPr>
          <w:rFonts w:hint="eastAsia" w:ascii="仿宋" w:hAnsi="仿宋" w:cs="仿宋"/>
          <w:szCs w:val="32"/>
        </w:rPr>
        <w:t>推进医共体成员单位间、医共体间有序就医、急慢分治、提高基层首诊、改善患者就医体验，实现双向转诊，通过建设治未病健康管理系统、远程会诊系统、双向转诊服务管理系统、分级诊疗平台等系统，以及对基层医疗卫生和基本公共卫生服务管理系统的升级，实现医疗资源的合理分布，真正贯彻国家医改精神，有效落实“基层首诊、双向转诊、急慢分治、上下联动”政策要求。</w:t>
      </w:r>
    </w:p>
    <w:p w14:paraId="7E3F7571">
      <w:pPr>
        <w:pStyle w:val="4"/>
        <w:ind w:left="575" w:hanging="575"/>
      </w:pPr>
      <w:bookmarkStart w:id="52" w:name="_Toc18355"/>
      <w:bookmarkStart w:id="53" w:name="_Toc97726218"/>
      <w:r>
        <w:rPr>
          <w:rFonts w:hint="eastAsia"/>
        </w:rPr>
        <w:t>构建惠民便民服务体系</w:t>
      </w:r>
      <w:bookmarkEnd w:id="52"/>
      <w:bookmarkEnd w:id="53"/>
    </w:p>
    <w:p w14:paraId="75D5E8B1">
      <w:pPr>
        <w:ind w:firstLine="640"/>
        <w:rPr>
          <w:rFonts w:hint="eastAsia" w:ascii="仿宋" w:hAnsi="仿宋" w:cs="仿宋"/>
          <w:szCs w:val="32"/>
        </w:rPr>
      </w:pPr>
      <w:r>
        <w:rPr>
          <w:rFonts w:hint="eastAsia" w:ascii="仿宋" w:hAnsi="仿宋" w:cs="仿宋"/>
          <w:szCs w:val="32"/>
        </w:rPr>
        <w:t>结合先进的互联网技术、人工智能技术、大数据技术，建立快捷、高效、智能的诊疗服务模式，结合线上线下的形式，构建惠民便民服务体系，推广分时段预约挂号、智能行程推荐、智慧结算、自助支付、自助查询、公众健康服务等应用，帮助居民能够就近问诊、及时治疗，享受到方便又优质的医疗卫生服务，畅通居民就医流程，提高就诊效率，改善居民就医体验。</w:t>
      </w:r>
    </w:p>
    <w:p w14:paraId="1032BA6B">
      <w:pPr>
        <w:pStyle w:val="4"/>
        <w:ind w:left="575" w:hanging="575"/>
      </w:pPr>
      <w:bookmarkStart w:id="54" w:name="_Toc97726219"/>
      <w:bookmarkStart w:id="55" w:name="_Toc7591"/>
      <w:r>
        <w:rPr>
          <w:rFonts w:hint="eastAsia"/>
        </w:rPr>
        <w:t>搭建医共体集成平台，消除信息孤岛</w:t>
      </w:r>
      <w:bookmarkEnd w:id="54"/>
      <w:bookmarkEnd w:id="55"/>
    </w:p>
    <w:p w14:paraId="14A430D6">
      <w:pPr>
        <w:ind w:firstLine="640"/>
        <w:rPr>
          <w:rFonts w:hint="eastAsia" w:ascii="仿宋" w:hAnsi="仿宋" w:cs="仿宋"/>
          <w:szCs w:val="32"/>
        </w:rPr>
      </w:pPr>
      <w:r>
        <w:rPr>
          <w:rFonts w:hint="eastAsia" w:ascii="仿宋" w:hAnsi="仿宋" w:cs="仿宋"/>
          <w:szCs w:val="32"/>
        </w:rPr>
        <w:t>通过建设医共体数据共享中心与医共体集成平台，建立统一的标准规范，包括标准术语字典、患者主索引、组织架构、诊疗项目、药品字典、费用项目等基础数据，实现主数据统一管理和使用，实现全区域内临床数据与运营数据的统一管理，从而形成更加完整高效的居民（患者）全息视图与医疗机构运营视图。从而实现跨区域、跨单位、跨部门的卫生信息互联互通，消除信息孤岛，实现医疗卫生服务业务协同，实现对卫生综合管理和医疗卫生服务动态监管，进而为医生提供临床诊疗辅助，为领导提供决策辅助支持。</w:t>
      </w:r>
    </w:p>
    <w:p w14:paraId="00C7002D">
      <w:pPr>
        <w:pStyle w:val="4"/>
        <w:ind w:left="575" w:hanging="575"/>
      </w:pPr>
      <w:bookmarkStart w:id="56" w:name="_Toc15059"/>
      <w:bookmarkStart w:id="57" w:name="_Toc97726221"/>
      <w:r>
        <w:rPr>
          <w:rFonts w:hint="eastAsia"/>
        </w:rPr>
        <w:t>提高监管决策水平</w:t>
      </w:r>
      <w:bookmarkEnd w:id="56"/>
      <w:bookmarkEnd w:id="57"/>
    </w:p>
    <w:p w14:paraId="6F91171E">
      <w:pPr>
        <w:ind w:firstLine="640"/>
        <w:rPr>
          <w:rFonts w:hint="eastAsia" w:ascii="仿宋" w:hAnsi="仿宋" w:cs="仿宋"/>
          <w:szCs w:val="32"/>
        </w:rPr>
      </w:pPr>
      <w:r>
        <w:rPr>
          <w:rFonts w:hint="eastAsia" w:ascii="仿宋" w:hAnsi="仿宋" w:cs="仿宋"/>
          <w:szCs w:val="32"/>
        </w:rPr>
        <w:t>通过医共体内医疗服务、运营管理的互联互通与数据共享，实现对医疗业务收入、医疗服务质量、药品耗材使用、医疗费用等的统计分析、深度挖掘数据背后的业务逻辑与常态监管，加强医共体内部建设成效的监管与评估，为卫生主管部门统筹医共体的战略发展、财政投入、项目建设、人事安排、薪酬水平、服务项目成本与价格等的确定和考核监管提供决策依据，实现卫生监管的实时化、透明化与规范化，提高管理决策水平。</w:t>
      </w:r>
    </w:p>
    <w:bookmarkEnd w:id="47"/>
    <w:p w14:paraId="0D53E48D">
      <w:pPr>
        <w:pStyle w:val="4"/>
        <w:numPr>
          <w:ilvl w:val="0"/>
          <w:numId w:val="2"/>
        </w:numPr>
        <w:rPr>
          <w:rFonts w:hint="eastAsia" w:ascii="仿宋" w:hAnsi="仿宋" w:eastAsia="仿宋" w:cs="仿宋"/>
          <w:szCs w:val="32"/>
        </w:rPr>
      </w:pPr>
      <w:r>
        <w:rPr>
          <w:rFonts w:hint="eastAsia" w:ascii="仿宋" w:hAnsi="仿宋" w:eastAsia="仿宋" w:cs="仿宋"/>
          <w:szCs w:val="32"/>
        </w:rPr>
        <w:t>软件开发服务</w:t>
      </w:r>
    </w:p>
    <w:p w14:paraId="2F68BFC7">
      <w:pPr>
        <w:ind w:firstLine="640"/>
        <w:rPr>
          <w:rFonts w:hint="eastAsia" w:ascii="仿宋" w:hAnsi="仿宋" w:cs="仿宋"/>
          <w:szCs w:val="32"/>
        </w:rPr>
      </w:pPr>
      <w:r>
        <w:rPr>
          <w:rFonts w:hint="eastAsia" w:ascii="仿宋" w:hAnsi="仿宋" w:cs="仿宋"/>
          <w:szCs w:val="32"/>
        </w:rPr>
        <w:t>软件开发服务内容</w:t>
      </w:r>
    </w:p>
    <w:tbl>
      <w:tblPr>
        <w:tblStyle w:val="17"/>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3577"/>
        <w:gridCol w:w="2131"/>
        <w:gridCol w:w="2131"/>
      </w:tblGrid>
      <w:tr w14:paraId="20536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681" w:type="dxa"/>
          </w:tcPr>
          <w:p w14:paraId="3CCEB5AA">
            <w:pPr>
              <w:pStyle w:val="15"/>
              <w:ind w:left="0" w:firstLine="0" w:firstLineChars="0"/>
              <w:jc w:val="center"/>
              <w:rPr>
                <w:rFonts w:hint="eastAsia" w:ascii="仿宋" w:hAnsi="仿宋" w:eastAsia="仿宋" w:cs="仿宋"/>
                <w:szCs w:val="32"/>
              </w:rPr>
            </w:pPr>
            <w:r>
              <w:rPr>
                <w:rFonts w:hint="eastAsia" w:ascii="仿宋" w:hAnsi="仿宋" w:eastAsia="仿宋" w:cs="仿宋"/>
                <w:szCs w:val="32"/>
              </w:rPr>
              <w:t>序号</w:t>
            </w:r>
          </w:p>
        </w:tc>
        <w:tc>
          <w:tcPr>
            <w:tcW w:w="3577" w:type="dxa"/>
          </w:tcPr>
          <w:p w14:paraId="48888E34">
            <w:pPr>
              <w:pStyle w:val="15"/>
              <w:ind w:left="0" w:firstLine="0" w:firstLineChars="0"/>
              <w:jc w:val="center"/>
              <w:rPr>
                <w:rFonts w:hint="eastAsia" w:ascii="仿宋" w:hAnsi="仿宋" w:eastAsia="仿宋" w:cs="仿宋"/>
                <w:szCs w:val="32"/>
              </w:rPr>
            </w:pPr>
            <w:r>
              <w:rPr>
                <w:rFonts w:hint="eastAsia" w:ascii="仿宋" w:hAnsi="仿宋" w:eastAsia="仿宋" w:cs="仿宋"/>
                <w:szCs w:val="32"/>
              </w:rPr>
              <w:t>建设内容</w:t>
            </w:r>
          </w:p>
        </w:tc>
        <w:tc>
          <w:tcPr>
            <w:tcW w:w="2131" w:type="dxa"/>
          </w:tcPr>
          <w:p w14:paraId="1C88E7D1">
            <w:pPr>
              <w:pStyle w:val="15"/>
              <w:ind w:left="0" w:firstLine="0" w:firstLineChars="0"/>
              <w:jc w:val="center"/>
              <w:rPr>
                <w:rFonts w:hint="eastAsia" w:ascii="仿宋" w:hAnsi="仿宋" w:eastAsia="仿宋" w:cs="仿宋"/>
                <w:szCs w:val="32"/>
              </w:rPr>
            </w:pPr>
            <w:r>
              <w:rPr>
                <w:rFonts w:hint="eastAsia" w:ascii="仿宋" w:hAnsi="仿宋" w:eastAsia="仿宋" w:cs="仿宋"/>
                <w:szCs w:val="32"/>
              </w:rPr>
              <w:t>建设范围</w:t>
            </w:r>
          </w:p>
        </w:tc>
        <w:tc>
          <w:tcPr>
            <w:tcW w:w="2131" w:type="dxa"/>
          </w:tcPr>
          <w:p w14:paraId="6AC90BA2">
            <w:pPr>
              <w:pStyle w:val="15"/>
              <w:ind w:left="0" w:firstLine="0" w:firstLineChars="0"/>
              <w:jc w:val="center"/>
              <w:rPr>
                <w:rFonts w:hint="eastAsia" w:ascii="仿宋" w:hAnsi="仿宋" w:eastAsia="仿宋" w:cs="仿宋"/>
                <w:szCs w:val="32"/>
              </w:rPr>
            </w:pPr>
            <w:r>
              <w:rPr>
                <w:rFonts w:hint="eastAsia" w:ascii="仿宋" w:hAnsi="仿宋" w:eastAsia="仿宋" w:cs="仿宋"/>
                <w:szCs w:val="32"/>
              </w:rPr>
              <w:t>备注</w:t>
            </w:r>
          </w:p>
        </w:tc>
      </w:tr>
      <w:tr w14:paraId="6D7A2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681" w:type="dxa"/>
          </w:tcPr>
          <w:p w14:paraId="784E7664">
            <w:pPr>
              <w:pStyle w:val="15"/>
              <w:ind w:left="0" w:firstLine="0" w:firstLineChars="0"/>
              <w:jc w:val="center"/>
              <w:rPr>
                <w:rFonts w:hint="eastAsia" w:ascii="仿宋" w:hAnsi="仿宋" w:eastAsia="仿宋" w:cs="仿宋"/>
                <w:szCs w:val="32"/>
              </w:rPr>
            </w:pPr>
            <w:r>
              <w:rPr>
                <w:rFonts w:hint="eastAsia" w:ascii="仿宋" w:hAnsi="仿宋" w:eastAsia="仿宋" w:cs="仿宋"/>
                <w:szCs w:val="32"/>
              </w:rPr>
              <w:t>1</w:t>
            </w:r>
          </w:p>
        </w:tc>
        <w:tc>
          <w:tcPr>
            <w:tcW w:w="3577" w:type="dxa"/>
          </w:tcPr>
          <w:p w14:paraId="421E1938">
            <w:pPr>
              <w:pStyle w:val="15"/>
              <w:ind w:left="0" w:firstLine="0" w:firstLineChars="0"/>
              <w:jc w:val="center"/>
              <w:rPr>
                <w:rFonts w:hint="eastAsia" w:ascii="仿宋" w:hAnsi="仿宋" w:eastAsia="仿宋" w:cs="仿宋"/>
                <w:szCs w:val="32"/>
              </w:rPr>
            </w:pPr>
            <w:r>
              <w:rPr>
                <w:rFonts w:hint="eastAsia" w:ascii="仿宋" w:hAnsi="仿宋" w:eastAsia="仿宋" w:cs="仿宋"/>
                <w:szCs w:val="32"/>
              </w:rPr>
              <w:t>居民健康360</w:t>
            </w:r>
          </w:p>
          <w:p w14:paraId="2402BEFA">
            <w:pPr>
              <w:pStyle w:val="15"/>
              <w:ind w:left="0" w:firstLine="0" w:firstLineChars="0"/>
              <w:jc w:val="center"/>
              <w:rPr>
                <w:rFonts w:hint="eastAsia" w:ascii="仿宋" w:hAnsi="仿宋" w:eastAsia="仿宋" w:cs="仿宋"/>
                <w:szCs w:val="32"/>
              </w:rPr>
            </w:pPr>
          </w:p>
        </w:tc>
        <w:tc>
          <w:tcPr>
            <w:tcW w:w="2131" w:type="dxa"/>
          </w:tcPr>
          <w:p w14:paraId="3EC4C534">
            <w:pPr>
              <w:pStyle w:val="15"/>
              <w:ind w:left="0" w:firstLine="0" w:firstLineChars="0"/>
              <w:jc w:val="center"/>
              <w:rPr>
                <w:rFonts w:hint="eastAsia" w:ascii="仿宋" w:hAnsi="仿宋" w:eastAsia="仿宋" w:cs="仿宋"/>
                <w:szCs w:val="32"/>
              </w:rPr>
            </w:pPr>
            <w:r>
              <w:rPr>
                <w:rFonts w:hint="eastAsia" w:ascii="仿宋" w:hAnsi="仿宋" w:eastAsia="仿宋" w:cs="仿宋"/>
                <w:szCs w:val="32"/>
              </w:rPr>
              <w:t>总医院</w:t>
            </w:r>
          </w:p>
        </w:tc>
        <w:tc>
          <w:tcPr>
            <w:tcW w:w="2131" w:type="dxa"/>
          </w:tcPr>
          <w:p w14:paraId="252B0204">
            <w:pPr>
              <w:pStyle w:val="15"/>
              <w:ind w:left="0" w:firstLine="0" w:firstLineChars="0"/>
              <w:jc w:val="center"/>
              <w:rPr>
                <w:rFonts w:hint="eastAsia" w:ascii="仿宋" w:hAnsi="仿宋" w:eastAsia="仿宋" w:cs="仿宋"/>
                <w:szCs w:val="32"/>
              </w:rPr>
            </w:pPr>
          </w:p>
        </w:tc>
      </w:tr>
      <w:tr w14:paraId="36380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681" w:type="dxa"/>
          </w:tcPr>
          <w:p w14:paraId="0070694A">
            <w:pPr>
              <w:pStyle w:val="15"/>
              <w:ind w:left="0" w:firstLine="0" w:firstLineChars="0"/>
              <w:jc w:val="center"/>
              <w:rPr>
                <w:rFonts w:hint="eastAsia" w:ascii="仿宋" w:hAnsi="仿宋" w:eastAsia="仿宋" w:cs="仿宋"/>
                <w:szCs w:val="32"/>
              </w:rPr>
            </w:pPr>
            <w:r>
              <w:rPr>
                <w:rFonts w:hint="eastAsia" w:ascii="仿宋" w:hAnsi="仿宋" w:eastAsia="仿宋" w:cs="仿宋"/>
                <w:szCs w:val="32"/>
              </w:rPr>
              <w:t>2</w:t>
            </w:r>
          </w:p>
        </w:tc>
        <w:tc>
          <w:tcPr>
            <w:tcW w:w="3577" w:type="dxa"/>
          </w:tcPr>
          <w:p w14:paraId="4524D119">
            <w:pPr>
              <w:pStyle w:val="15"/>
              <w:ind w:left="0" w:firstLine="0" w:firstLineChars="0"/>
              <w:jc w:val="center"/>
              <w:rPr>
                <w:rFonts w:hint="eastAsia" w:ascii="仿宋" w:hAnsi="仿宋" w:eastAsia="仿宋" w:cs="仿宋"/>
                <w:szCs w:val="32"/>
              </w:rPr>
            </w:pPr>
            <w:r>
              <w:rPr>
                <w:rFonts w:hint="eastAsia" w:ascii="仿宋" w:hAnsi="仿宋" w:eastAsia="仿宋" w:cs="仿宋"/>
                <w:szCs w:val="32"/>
              </w:rPr>
              <w:t>双向转诊</w:t>
            </w:r>
          </w:p>
        </w:tc>
        <w:tc>
          <w:tcPr>
            <w:tcW w:w="2131" w:type="dxa"/>
          </w:tcPr>
          <w:p w14:paraId="744D77AC">
            <w:pPr>
              <w:pStyle w:val="15"/>
              <w:ind w:left="0" w:firstLine="0" w:firstLineChars="0"/>
              <w:jc w:val="center"/>
              <w:rPr>
                <w:rFonts w:hint="eastAsia" w:ascii="仿宋" w:hAnsi="仿宋" w:eastAsia="仿宋" w:cs="仿宋"/>
                <w:szCs w:val="32"/>
              </w:rPr>
            </w:pPr>
            <w:r>
              <w:rPr>
                <w:rFonts w:hint="eastAsia" w:ascii="仿宋" w:hAnsi="仿宋" w:eastAsia="仿宋" w:cs="仿宋"/>
                <w:szCs w:val="32"/>
              </w:rPr>
              <w:t>总医院</w:t>
            </w:r>
          </w:p>
        </w:tc>
        <w:tc>
          <w:tcPr>
            <w:tcW w:w="2131" w:type="dxa"/>
          </w:tcPr>
          <w:p w14:paraId="7D174BAF">
            <w:pPr>
              <w:pStyle w:val="15"/>
              <w:ind w:firstLine="640"/>
              <w:jc w:val="center"/>
              <w:rPr>
                <w:rFonts w:hint="eastAsia" w:ascii="仿宋" w:hAnsi="仿宋" w:eastAsia="仿宋" w:cs="仿宋"/>
                <w:szCs w:val="32"/>
              </w:rPr>
            </w:pPr>
          </w:p>
        </w:tc>
      </w:tr>
      <w:tr w14:paraId="6C611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681" w:type="dxa"/>
          </w:tcPr>
          <w:p w14:paraId="752ACB3F">
            <w:pPr>
              <w:pStyle w:val="15"/>
              <w:ind w:left="0" w:firstLine="0" w:firstLineChars="0"/>
              <w:jc w:val="center"/>
              <w:rPr>
                <w:rFonts w:hint="eastAsia" w:ascii="仿宋" w:hAnsi="仿宋" w:eastAsia="仿宋" w:cs="仿宋"/>
                <w:szCs w:val="32"/>
              </w:rPr>
            </w:pPr>
            <w:r>
              <w:rPr>
                <w:rFonts w:hint="eastAsia" w:ascii="仿宋" w:hAnsi="仿宋" w:eastAsia="仿宋" w:cs="仿宋"/>
                <w:szCs w:val="32"/>
              </w:rPr>
              <w:t>3</w:t>
            </w:r>
          </w:p>
        </w:tc>
        <w:tc>
          <w:tcPr>
            <w:tcW w:w="3577" w:type="dxa"/>
          </w:tcPr>
          <w:p w14:paraId="20F1FE5B">
            <w:pPr>
              <w:pStyle w:val="15"/>
              <w:ind w:left="0" w:firstLine="0" w:firstLineChars="0"/>
              <w:jc w:val="center"/>
              <w:rPr>
                <w:rFonts w:hint="eastAsia" w:ascii="仿宋" w:hAnsi="仿宋" w:eastAsia="仿宋" w:cs="仿宋"/>
                <w:szCs w:val="32"/>
              </w:rPr>
            </w:pPr>
          </w:p>
          <w:p w14:paraId="289A2BFE">
            <w:pPr>
              <w:pStyle w:val="15"/>
              <w:ind w:left="0" w:firstLine="0" w:firstLineChars="0"/>
              <w:jc w:val="center"/>
              <w:rPr>
                <w:rFonts w:hint="eastAsia" w:ascii="仿宋" w:hAnsi="仿宋" w:eastAsia="仿宋" w:cs="仿宋"/>
                <w:szCs w:val="32"/>
              </w:rPr>
            </w:pPr>
            <w:r>
              <w:rPr>
                <w:rFonts w:hint="eastAsia" w:ascii="仿宋" w:hAnsi="仿宋" w:eastAsia="仿宋" w:cs="仿宋"/>
                <w:szCs w:val="32"/>
              </w:rPr>
              <w:t>医共体一体化监管平台</w:t>
            </w:r>
          </w:p>
        </w:tc>
        <w:tc>
          <w:tcPr>
            <w:tcW w:w="2131" w:type="dxa"/>
          </w:tcPr>
          <w:p w14:paraId="558FE2F8">
            <w:pPr>
              <w:pStyle w:val="15"/>
              <w:ind w:left="0" w:firstLine="0" w:firstLineChars="0"/>
              <w:jc w:val="center"/>
              <w:rPr>
                <w:rFonts w:hint="eastAsia" w:ascii="仿宋" w:hAnsi="仿宋" w:eastAsia="仿宋" w:cs="仿宋"/>
                <w:szCs w:val="32"/>
              </w:rPr>
            </w:pPr>
            <w:r>
              <w:rPr>
                <w:rFonts w:hint="eastAsia" w:ascii="仿宋" w:hAnsi="仿宋" w:eastAsia="仿宋" w:cs="仿宋"/>
                <w:szCs w:val="32"/>
              </w:rPr>
              <w:t>总医院</w:t>
            </w:r>
          </w:p>
        </w:tc>
        <w:tc>
          <w:tcPr>
            <w:tcW w:w="2131" w:type="dxa"/>
          </w:tcPr>
          <w:p w14:paraId="5EE0F943">
            <w:pPr>
              <w:pStyle w:val="15"/>
              <w:ind w:left="0" w:firstLine="0" w:firstLineChars="0"/>
              <w:jc w:val="center"/>
              <w:rPr>
                <w:rFonts w:hint="eastAsia" w:ascii="仿宋" w:hAnsi="仿宋" w:eastAsia="仿宋" w:cs="仿宋"/>
                <w:szCs w:val="32"/>
              </w:rPr>
            </w:pPr>
            <w:r>
              <w:rPr>
                <w:rFonts w:hint="eastAsia" w:ascii="仿宋" w:hAnsi="仿宋" w:eastAsia="仿宋" w:cs="仿宋"/>
                <w:szCs w:val="32"/>
              </w:rPr>
              <w:t>医共体数据指标、业务数据展示、管理数据展示</w:t>
            </w:r>
          </w:p>
        </w:tc>
      </w:tr>
      <w:tr w14:paraId="5C8AD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681" w:type="dxa"/>
          </w:tcPr>
          <w:p w14:paraId="3E56CE52">
            <w:pPr>
              <w:pStyle w:val="15"/>
              <w:ind w:left="0" w:firstLine="0" w:firstLineChars="0"/>
              <w:jc w:val="center"/>
              <w:rPr>
                <w:rFonts w:hint="eastAsia" w:ascii="仿宋" w:hAnsi="仿宋" w:eastAsia="仿宋" w:cs="仿宋"/>
                <w:szCs w:val="32"/>
              </w:rPr>
            </w:pPr>
            <w:r>
              <w:rPr>
                <w:rFonts w:hint="eastAsia" w:ascii="仿宋" w:hAnsi="仿宋" w:eastAsia="仿宋" w:cs="仿宋"/>
                <w:szCs w:val="32"/>
              </w:rPr>
              <w:t>4</w:t>
            </w:r>
          </w:p>
        </w:tc>
        <w:tc>
          <w:tcPr>
            <w:tcW w:w="3577" w:type="dxa"/>
          </w:tcPr>
          <w:p w14:paraId="3BD7A566">
            <w:pPr>
              <w:pStyle w:val="15"/>
              <w:ind w:left="0" w:firstLine="0" w:firstLineChars="0"/>
              <w:jc w:val="center"/>
              <w:rPr>
                <w:rFonts w:hint="eastAsia" w:ascii="仿宋" w:hAnsi="仿宋" w:eastAsia="仿宋" w:cs="仿宋"/>
                <w:szCs w:val="32"/>
              </w:rPr>
            </w:pPr>
            <w:r>
              <w:rPr>
                <w:rFonts w:hint="eastAsia" w:ascii="仿宋" w:hAnsi="仿宋" w:eastAsia="仿宋" w:cs="仿宋"/>
                <w:szCs w:val="32"/>
              </w:rPr>
              <w:t>基层业务系统</w:t>
            </w:r>
          </w:p>
        </w:tc>
        <w:tc>
          <w:tcPr>
            <w:tcW w:w="2131" w:type="dxa"/>
          </w:tcPr>
          <w:p w14:paraId="6424D4E3">
            <w:pPr>
              <w:pStyle w:val="15"/>
              <w:ind w:left="0" w:firstLine="0" w:firstLineChars="0"/>
              <w:jc w:val="center"/>
              <w:rPr>
                <w:rFonts w:hint="eastAsia" w:ascii="仿宋" w:hAnsi="仿宋" w:eastAsia="仿宋" w:cs="仿宋"/>
                <w:szCs w:val="32"/>
              </w:rPr>
            </w:pPr>
            <w:r>
              <w:rPr>
                <w:rFonts w:hint="eastAsia" w:ascii="仿宋" w:hAnsi="仿宋" w:eastAsia="仿宋" w:cs="仿宋"/>
                <w:szCs w:val="32"/>
              </w:rPr>
              <w:t>卫生院</w:t>
            </w:r>
          </w:p>
        </w:tc>
        <w:tc>
          <w:tcPr>
            <w:tcW w:w="2131" w:type="dxa"/>
          </w:tcPr>
          <w:p w14:paraId="2DD1622B">
            <w:pPr>
              <w:pStyle w:val="15"/>
              <w:ind w:left="0" w:firstLine="0" w:firstLineChars="0"/>
              <w:jc w:val="center"/>
              <w:rPr>
                <w:rFonts w:hint="eastAsia" w:ascii="仿宋" w:hAnsi="仿宋" w:eastAsia="仿宋" w:cs="仿宋"/>
                <w:szCs w:val="32"/>
              </w:rPr>
            </w:pPr>
            <w:r>
              <w:rPr>
                <w:rFonts w:hint="eastAsia" w:ascii="仿宋" w:hAnsi="仿宋" w:eastAsia="仿宋" w:cs="仿宋"/>
                <w:szCs w:val="32"/>
              </w:rPr>
              <w:t>HIS、LIS、PACS、EMR建设</w:t>
            </w:r>
          </w:p>
        </w:tc>
      </w:tr>
      <w:tr w14:paraId="3DE75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681" w:type="dxa"/>
          </w:tcPr>
          <w:p w14:paraId="19757D22">
            <w:pPr>
              <w:pStyle w:val="15"/>
              <w:ind w:left="0" w:firstLine="0" w:firstLineChars="0"/>
              <w:jc w:val="center"/>
              <w:rPr>
                <w:rFonts w:hint="eastAsia" w:ascii="仿宋" w:hAnsi="仿宋" w:eastAsia="仿宋" w:cs="仿宋"/>
                <w:szCs w:val="32"/>
              </w:rPr>
            </w:pPr>
            <w:r>
              <w:rPr>
                <w:rFonts w:hint="eastAsia" w:ascii="仿宋" w:hAnsi="仿宋" w:eastAsia="仿宋" w:cs="仿宋"/>
                <w:szCs w:val="32"/>
              </w:rPr>
              <w:t>5</w:t>
            </w:r>
          </w:p>
        </w:tc>
        <w:tc>
          <w:tcPr>
            <w:tcW w:w="3577" w:type="dxa"/>
          </w:tcPr>
          <w:p w14:paraId="2AFC6805">
            <w:pPr>
              <w:pStyle w:val="15"/>
              <w:ind w:left="0" w:firstLine="0" w:firstLineChars="0"/>
              <w:jc w:val="center"/>
              <w:rPr>
                <w:rFonts w:hint="eastAsia" w:ascii="仿宋" w:hAnsi="仿宋" w:eastAsia="仿宋" w:cs="仿宋"/>
                <w:szCs w:val="32"/>
              </w:rPr>
            </w:pPr>
            <w:r>
              <w:rPr>
                <w:rFonts w:hint="eastAsia" w:ascii="仿宋" w:hAnsi="仿宋" w:eastAsia="仿宋" w:cs="仿宋"/>
                <w:szCs w:val="32"/>
              </w:rPr>
              <w:t>医共体接口</w:t>
            </w:r>
          </w:p>
        </w:tc>
        <w:tc>
          <w:tcPr>
            <w:tcW w:w="2131" w:type="dxa"/>
          </w:tcPr>
          <w:p w14:paraId="5DBA9241">
            <w:pPr>
              <w:pStyle w:val="15"/>
              <w:ind w:left="0" w:firstLine="0" w:firstLineChars="0"/>
              <w:jc w:val="center"/>
              <w:rPr>
                <w:rFonts w:hint="eastAsia" w:ascii="仿宋" w:hAnsi="仿宋" w:eastAsia="仿宋" w:cs="仿宋"/>
                <w:szCs w:val="32"/>
              </w:rPr>
            </w:pPr>
            <w:r>
              <w:rPr>
                <w:rFonts w:hint="eastAsia" w:ascii="仿宋" w:hAnsi="仿宋" w:eastAsia="仿宋" w:cs="仿宋"/>
                <w:szCs w:val="32"/>
              </w:rPr>
              <w:t>总医院</w:t>
            </w:r>
          </w:p>
        </w:tc>
        <w:tc>
          <w:tcPr>
            <w:tcW w:w="2131" w:type="dxa"/>
          </w:tcPr>
          <w:p w14:paraId="4E154B2D">
            <w:pPr>
              <w:pStyle w:val="15"/>
              <w:ind w:left="0" w:firstLine="0" w:firstLineChars="0"/>
              <w:jc w:val="center"/>
              <w:rPr>
                <w:rFonts w:hint="eastAsia" w:ascii="仿宋" w:hAnsi="仿宋" w:eastAsia="仿宋" w:cs="仿宋"/>
                <w:szCs w:val="32"/>
              </w:rPr>
            </w:pPr>
            <w:r>
              <w:rPr>
                <w:rFonts w:hint="eastAsia" w:ascii="仿宋" w:hAnsi="仿宋" w:eastAsia="仿宋" w:cs="仿宋"/>
                <w:szCs w:val="32"/>
              </w:rPr>
              <w:t>医共体内信息数据接口（中医院接口、妇幼接口、春湾接口）、省平台接口（基公卫接口）、人民医院医共体数据接口</w:t>
            </w:r>
          </w:p>
        </w:tc>
      </w:tr>
    </w:tbl>
    <w:p w14:paraId="202FD143">
      <w:pPr>
        <w:pStyle w:val="2"/>
        <w:ind w:firstLine="480"/>
      </w:pPr>
    </w:p>
    <w:p w14:paraId="60D3AF50">
      <w:pPr>
        <w:pStyle w:val="3"/>
        <w:numPr>
          <w:ilvl w:val="0"/>
          <w:numId w:val="4"/>
        </w:numPr>
        <w:ind w:firstLine="883"/>
        <w:jc w:val="center"/>
      </w:pPr>
      <w:r>
        <w:rPr>
          <w:rFonts w:hint="eastAsia"/>
        </w:rPr>
        <w:t>居民健康360</w:t>
      </w:r>
    </w:p>
    <w:p w14:paraId="0E778FCB">
      <w:pPr>
        <w:pStyle w:val="4"/>
        <w:numPr>
          <w:ilvl w:val="1"/>
          <w:numId w:val="5"/>
        </w:numPr>
      </w:pPr>
      <w:r>
        <w:rPr>
          <w:rFonts w:hint="eastAsia"/>
        </w:rPr>
        <w:t>单点登录平台</w:t>
      </w:r>
      <w:bookmarkEnd w:id="14"/>
      <w:bookmarkEnd w:id="15"/>
      <w:bookmarkEnd w:id="16"/>
      <w:bookmarkEnd w:id="17"/>
      <w:bookmarkEnd w:id="18"/>
    </w:p>
    <w:p w14:paraId="6A2B474E">
      <w:pPr>
        <w:widowControl/>
        <w:ind w:firstLine="640"/>
        <w:rPr>
          <w:rFonts w:cs="宋体"/>
        </w:rPr>
      </w:pPr>
      <w:r>
        <w:rPr>
          <w:rFonts w:hint="eastAsia" w:cs="宋体"/>
        </w:rPr>
        <w:t>单点登录平台能让用户在运用系统时能准确的寻找到他们需要运用的系统图标，方便他们进行安全验证；只需要记住一个密码就可以实现所有有权限运用子系统的登录验证；用户只需要登录一次就可以访问所有相互信任的应用系统，即用户只需要记住集成门户的用户名和密码就可以登录所有有权限的系统。</w:t>
      </w:r>
    </w:p>
    <w:p w14:paraId="5898D012">
      <w:pPr>
        <w:pStyle w:val="5"/>
        <w:numPr>
          <w:ilvl w:val="2"/>
          <w:numId w:val="5"/>
        </w:numPr>
      </w:pPr>
      <w:bookmarkStart w:id="58" w:name="_Toc20019"/>
      <w:bookmarkStart w:id="59" w:name="_Toc2732"/>
      <w:bookmarkStart w:id="60" w:name="_Toc31330"/>
      <w:r>
        <w:rPr>
          <w:rFonts w:hint="eastAsia"/>
        </w:rPr>
        <w:t>组织机构管理</w:t>
      </w:r>
      <w:bookmarkEnd w:id="58"/>
      <w:bookmarkEnd w:id="59"/>
      <w:bookmarkEnd w:id="60"/>
    </w:p>
    <w:p w14:paraId="5EA59E85">
      <w:pPr>
        <w:ind w:firstLine="640"/>
      </w:pPr>
      <w:r>
        <w:rPr>
          <w:rFonts w:hint="eastAsia"/>
        </w:rPr>
        <w:t>1.注册登记</w:t>
      </w:r>
    </w:p>
    <w:p w14:paraId="5D1E4971">
      <w:pPr>
        <w:ind w:firstLine="640"/>
      </w:pPr>
      <w:r>
        <w:rPr>
          <w:rFonts w:hint="eastAsia"/>
        </w:rPr>
        <w:t>平台支持组织机构的注册、登记。输入组织机构的基本信息，如上级机构、归属机构、机构名称、机构编码、负责人等信息完成机构的注册。</w:t>
      </w:r>
    </w:p>
    <w:p w14:paraId="0C6A25F6">
      <w:pPr>
        <w:ind w:firstLine="640"/>
      </w:pPr>
      <w:r>
        <w:rPr>
          <w:rFonts w:hint="eastAsia"/>
        </w:rPr>
        <w:t>2.修改维护</w:t>
      </w:r>
    </w:p>
    <w:p w14:paraId="3C6B6A3C">
      <w:pPr>
        <w:ind w:firstLine="640"/>
      </w:pPr>
      <w:r>
        <w:rPr>
          <w:rFonts w:hint="eastAsia"/>
        </w:rPr>
        <w:t>平台支持组织机构的修改、维护。展示已经添加的组织机构，并提供修改、删除、添加下级机构的维护功能。</w:t>
      </w:r>
    </w:p>
    <w:p w14:paraId="5F218D40">
      <w:pPr>
        <w:pStyle w:val="5"/>
        <w:numPr>
          <w:ilvl w:val="2"/>
          <w:numId w:val="5"/>
        </w:numPr>
      </w:pPr>
      <w:bookmarkStart w:id="61" w:name="_Toc16160"/>
      <w:bookmarkStart w:id="62" w:name="_Toc5580"/>
      <w:bookmarkStart w:id="63" w:name="_Toc10679"/>
      <w:r>
        <w:rPr>
          <w:rFonts w:hint="eastAsia"/>
        </w:rPr>
        <w:t>用户管理</w:t>
      </w:r>
      <w:bookmarkEnd w:id="61"/>
      <w:bookmarkEnd w:id="62"/>
      <w:bookmarkEnd w:id="63"/>
    </w:p>
    <w:p w14:paraId="22B4A4C5">
      <w:pPr>
        <w:ind w:firstLine="640"/>
      </w:pPr>
      <w:r>
        <w:rPr>
          <w:rFonts w:hint="eastAsia"/>
        </w:rPr>
        <w:t>1.用户管理</w:t>
      </w:r>
    </w:p>
    <w:p w14:paraId="47DB9E43">
      <w:pPr>
        <w:ind w:firstLine="640"/>
      </w:pPr>
      <w:r>
        <w:rPr>
          <w:rFonts w:hint="eastAsia"/>
        </w:rPr>
        <w:t>平台支持提供用户的新建、编辑、查询、启用停用。</w:t>
      </w:r>
    </w:p>
    <w:p w14:paraId="02FA8906">
      <w:pPr>
        <w:ind w:firstLine="640"/>
        <w:rPr>
          <w:rFonts w:eastAsia="仿宋_GB2312"/>
        </w:rPr>
      </w:pPr>
      <w:r>
        <w:rPr>
          <w:rFonts w:hint="eastAsia"/>
        </w:rPr>
        <w:t>提供平台用户的添加功能，输入关键信息如归属部门、工号、姓名、登录名、密码、所属角色即可完成平台用户的创建，同时平台支持用户的批量导入（通过接口、Excel）；</w:t>
      </w:r>
    </w:p>
    <w:p w14:paraId="23098537">
      <w:pPr>
        <w:ind w:firstLine="640"/>
      </w:pPr>
      <w:r>
        <w:rPr>
          <w:rFonts w:hint="eastAsia"/>
        </w:rPr>
        <w:t>用户索引功能，此菜单子项主要是用来查看平台用户可能存在潜在重复，即平台用户在关联新来的相同机构的用户时，可能这个用户可能和已经在平台里注册的某个用户是同一个用户，所以必须将这类用户设置潜在重复用户，这些用户需要手动判断是否将他们添加到平台中，并提供合并功能、取消合并、设置成新用户功能。</w:t>
      </w:r>
    </w:p>
    <w:p w14:paraId="362BCF81">
      <w:pPr>
        <w:ind w:firstLine="640"/>
      </w:pPr>
      <w:r>
        <w:rPr>
          <w:rFonts w:hint="eastAsia"/>
        </w:rPr>
        <w:t>2.用户对照</w:t>
      </w:r>
    </w:p>
    <w:p w14:paraId="47C4951C">
      <w:pPr>
        <w:ind w:firstLine="640"/>
      </w:pPr>
      <w:r>
        <w:rPr>
          <w:rFonts w:hint="eastAsia"/>
        </w:rPr>
        <w:t>平台支持根据规则将用户映射到门户用户下，同时提供手工映射。</w:t>
      </w:r>
    </w:p>
    <w:p w14:paraId="35219844">
      <w:pPr>
        <w:ind w:firstLine="640"/>
      </w:pPr>
      <w:r>
        <w:rPr>
          <w:rFonts w:hint="eastAsia"/>
        </w:rPr>
        <w:t>建立对照，用户在导入后系统会根据对应的规则先进行匹配，匹配不上的则进行手工对照，如果没有可匹配上的平台用户，可将次用户设置新的平台用户；</w:t>
      </w:r>
    </w:p>
    <w:p w14:paraId="240B6984">
      <w:pPr>
        <w:ind w:firstLine="640"/>
      </w:pPr>
      <w:r>
        <w:rPr>
          <w:rFonts w:hint="eastAsia"/>
        </w:rPr>
        <w:t>查看对照，一个平台用户所对照的子系统用户，即此平台用户所能访问的子系统列表，提供子系统用户禁用功能，禁用后不可再通过单点登录系统访问该子系统。</w:t>
      </w:r>
    </w:p>
    <w:p w14:paraId="23BC0855">
      <w:pPr>
        <w:pStyle w:val="5"/>
        <w:numPr>
          <w:ilvl w:val="2"/>
          <w:numId w:val="5"/>
        </w:numPr>
      </w:pPr>
      <w:bookmarkStart w:id="64" w:name="_Toc12429"/>
      <w:bookmarkStart w:id="65" w:name="_Toc20823"/>
      <w:bookmarkStart w:id="66" w:name="_Toc3318"/>
      <w:r>
        <w:rPr>
          <w:rFonts w:hint="eastAsia"/>
        </w:rPr>
        <w:t>应用系统管理</w:t>
      </w:r>
      <w:bookmarkEnd w:id="64"/>
      <w:bookmarkEnd w:id="65"/>
      <w:bookmarkEnd w:id="66"/>
    </w:p>
    <w:p w14:paraId="31A568E3">
      <w:pPr>
        <w:ind w:firstLine="640"/>
      </w:pPr>
      <w:r>
        <w:rPr>
          <w:rFonts w:hint="eastAsia"/>
        </w:rPr>
        <w:t>1.应用系统管理</w:t>
      </w:r>
    </w:p>
    <w:p w14:paraId="4E70CAFA">
      <w:pPr>
        <w:ind w:firstLine="640"/>
      </w:pPr>
      <w:r>
        <w:rPr>
          <w:rFonts w:hint="eastAsia"/>
        </w:rPr>
        <w:t>平台支持汇集全院的应用系统功能，基于应用系统的功能进行授权委托。展示平台集成了哪些系统，提供系统的添加、修改维护等功能。</w:t>
      </w:r>
    </w:p>
    <w:p w14:paraId="6989AF2C">
      <w:pPr>
        <w:ind w:firstLine="640"/>
      </w:pPr>
      <w:r>
        <w:rPr>
          <w:rFonts w:hint="eastAsia"/>
        </w:rPr>
        <w:t>2.应用收藏</w:t>
      </w:r>
    </w:p>
    <w:p w14:paraId="5DF0FB27">
      <w:pPr>
        <w:ind w:firstLine="640"/>
      </w:pPr>
      <w:r>
        <w:rPr>
          <w:rFonts w:hint="eastAsia"/>
        </w:rPr>
        <w:t>平台支持用户可以根据喜好，收藏常用的应用。所有功能即当前用户所关联的所有系统，常用功能即被该用户收藏的系统。</w:t>
      </w:r>
    </w:p>
    <w:p w14:paraId="6708946C">
      <w:pPr>
        <w:pStyle w:val="5"/>
        <w:numPr>
          <w:ilvl w:val="2"/>
          <w:numId w:val="5"/>
        </w:numPr>
      </w:pPr>
      <w:bookmarkStart w:id="67" w:name="_Toc31870"/>
      <w:bookmarkStart w:id="68" w:name="_Toc16813"/>
      <w:bookmarkStart w:id="69" w:name="_Toc19459"/>
      <w:r>
        <w:rPr>
          <w:rFonts w:hint="eastAsia"/>
        </w:rPr>
        <w:t>统一登录管理</w:t>
      </w:r>
      <w:bookmarkEnd w:id="67"/>
      <w:bookmarkEnd w:id="68"/>
      <w:bookmarkEnd w:id="69"/>
    </w:p>
    <w:p w14:paraId="0725731D">
      <w:pPr>
        <w:ind w:firstLine="640"/>
      </w:pPr>
      <w:r>
        <w:rPr>
          <w:rFonts w:hint="eastAsia"/>
        </w:rPr>
        <w:t>平台支持实现多个系统、一次登录、一个门户。平台用户登录后，点击对应的系统即可进入。</w:t>
      </w:r>
    </w:p>
    <w:p w14:paraId="231557FB">
      <w:pPr>
        <w:pStyle w:val="4"/>
        <w:numPr>
          <w:ilvl w:val="1"/>
          <w:numId w:val="5"/>
        </w:numPr>
      </w:pPr>
      <w:bookmarkStart w:id="70" w:name="_Toc6827"/>
      <w:bookmarkStart w:id="71" w:name="_Toc20804"/>
      <w:bookmarkStart w:id="72" w:name="_Toc13778"/>
      <w:bookmarkStart w:id="73" w:name="_Toc20861"/>
      <w:r>
        <w:rPr>
          <w:rFonts w:hint="eastAsia"/>
        </w:rPr>
        <w:t>患者主索引</w:t>
      </w:r>
      <w:bookmarkEnd w:id="70"/>
      <w:bookmarkEnd w:id="71"/>
      <w:bookmarkEnd w:id="72"/>
      <w:bookmarkEnd w:id="73"/>
    </w:p>
    <w:p w14:paraId="1241A6DE">
      <w:pPr>
        <w:pStyle w:val="5"/>
        <w:numPr>
          <w:ilvl w:val="2"/>
          <w:numId w:val="5"/>
        </w:numPr>
      </w:pPr>
      <w:bookmarkStart w:id="74" w:name="_Toc29922"/>
      <w:r>
        <w:rPr>
          <w:rFonts w:hint="eastAsia"/>
        </w:rPr>
        <w:t>患者信息注册</w:t>
      </w:r>
      <w:bookmarkEnd w:id="74"/>
    </w:p>
    <w:p w14:paraId="2C9359E7">
      <w:pPr>
        <w:ind w:firstLine="640"/>
      </w:pPr>
      <w:r>
        <w:rPr>
          <w:rFonts w:hint="eastAsia"/>
        </w:rPr>
        <w:t>把患者的索引加入到交叉索引系统时，向交叉索引系统传送请求注册消息，消息中包含待注册的患者信息，主要元素信息包括：业务系统、业务系统ID、姓名、性别、出生日期、民族、证件类别、证件号码、住址、电话等。</w:t>
      </w:r>
    </w:p>
    <w:p w14:paraId="550BDA02">
      <w:pPr>
        <w:pStyle w:val="5"/>
        <w:numPr>
          <w:ilvl w:val="2"/>
          <w:numId w:val="5"/>
        </w:numPr>
      </w:pPr>
      <w:bookmarkStart w:id="75" w:name="_Toc19732"/>
      <w:r>
        <w:rPr>
          <w:rFonts w:hint="eastAsia"/>
        </w:rPr>
        <w:t>患者信息匹配</w:t>
      </w:r>
      <w:bookmarkEnd w:id="75"/>
    </w:p>
    <w:p w14:paraId="4D581453">
      <w:pPr>
        <w:ind w:firstLine="640"/>
      </w:pPr>
      <w:r>
        <w:rPr>
          <w:rFonts w:hint="eastAsia"/>
        </w:rPr>
        <w:t xml:space="preserve">特殊标识匹配：通过输入身份证件号、姓名、性别、出生日期、电话等信息向平台主索引服务查询，确定是否在其他院区已经注册。为保证信息的正确性、一致性和匹配真实有效，在此环节，建议尽量利用社保卡、医保卡、二代身份证，通过间接查询或芯片读取等方式直接取得。 </w:t>
      </w:r>
      <w:r>
        <w:rPr>
          <w:rFonts w:hint="eastAsia"/>
        </w:rPr>
        <w:br w:type="textWrapping"/>
      </w:r>
      <w:r>
        <w:rPr>
          <w:rFonts w:hint="eastAsia"/>
        </w:rPr>
        <w:t xml:space="preserve">    事后人工匹配：对于窗口产生的潜在合并日志，将利用姓名、性别、出生日期、电话、婚姻状况、职业、文化程序等注册信息，结合以下潜在记录匹配算法供管理员合并处理。 </w:t>
      </w:r>
      <w:r>
        <w:rPr>
          <w:rFonts w:hint="eastAsia"/>
        </w:rPr>
        <w:br w:type="textWrapping"/>
      </w:r>
      <w:r>
        <w:rPr>
          <w:rFonts w:hint="eastAsia"/>
        </w:rPr>
        <w:t xml:space="preserve">    潜在匹配算法：采用“身份信息框架”和“关键信息项排序”等技术实现身份匹配方法，可以给出身份匹配的相似度。</w:t>
      </w:r>
    </w:p>
    <w:p w14:paraId="5D3604D1">
      <w:pPr>
        <w:pStyle w:val="5"/>
        <w:numPr>
          <w:ilvl w:val="2"/>
          <w:numId w:val="5"/>
        </w:numPr>
      </w:pPr>
      <w:bookmarkStart w:id="76" w:name="_Toc3240"/>
      <w:r>
        <w:rPr>
          <w:rFonts w:hint="eastAsia"/>
        </w:rPr>
        <w:t>患者主索引管理</w:t>
      </w:r>
      <w:bookmarkEnd w:id="76"/>
    </w:p>
    <w:p w14:paraId="2EDA6BE5">
      <w:pPr>
        <w:ind w:firstLine="640"/>
      </w:pPr>
      <w:r>
        <w:rPr>
          <w:rFonts w:hint="eastAsia"/>
        </w:rPr>
        <w:t>就诊记录：支持患者历次就诊记录查询，可按照门诊、住院对历次就诊记录进行分类展示；</w:t>
      </w:r>
    </w:p>
    <w:p w14:paraId="7B5F23A2">
      <w:pPr>
        <w:ind w:firstLine="640"/>
      </w:pPr>
      <w:r>
        <w:rPr>
          <w:rFonts w:hint="eastAsia"/>
        </w:rPr>
        <w:t>异常记录：支持患者检查、检验等异常指标提醒，可根据检查、检验分类显示异常数量，并可点击某一异常提醒快速定位到患者当前异常记录；</w:t>
      </w:r>
    </w:p>
    <w:p w14:paraId="3BA52AB3">
      <w:pPr>
        <w:ind w:firstLine="640"/>
      </w:pPr>
      <w:r>
        <w:rPr>
          <w:rFonts w:hint="eastAsia"/>
        </w:rPr>
        <w:t>诊疗资料：提供患者检查、检验、医嘱、临床诊断、电子病历、就诊费用、挂号记录等信息的查看功能；</w:t>
      </w:r>
    </w:p>
    <w:p w14:paraId="54B57B0A">
      <w:pPr>
        <w:ind w:firstLine="640"/>
      </w:pPr>
      <w:r>
        <w:rPr>
          <w:rFonts w:hint="eastAsia"/>
        </w:rPr>
        <w:t>目录导航：提供患者诊疗资料目录导航，点击检查、检验、医嘱、电子病历等可快速定位到对应的资料页面；</w:t>
      </w:r>
    </w:p>
    <w:p w14:paraId="3DB3B2E6">
      <w:pPr>
        <w:ind w:firstLine="640"/>
      </w:pPr>
      <w:r>
        <w:rPr>
          <w:rFonts w:hint="eastAsia"/>
        </w:rPr>
        <w:t>权重配置：可根据患者身份证加名字，患者手机号加姓名配置权重，自动合并患者主索引；</w:t>
      </w:r>
    </w:p>
    <w:p w14:paraId="515E7E91">
      <w:pPr>
        <w:ind w:firstLine="640"/>
      </w:pPr>
      <w:r>
        <w:rPr>
          <w:rFonts w:hint="eastAsia"/>
        </w:rPr>
        <w:t>与其他应用对接：支持与HIS、PACS等其他应用系统的对接，医生可查看患者历次所有就诊记录及诊疗资料，辅助医生临床诊断。</w:t>
      </w:r>
    </w:p>
    <w:p w14:paraId="2544D336">
      <w:pPr>
        <w:pStyle w:val="4"/>
        <w:numPr>
          <w:ilvl w:val="1"/>
          <w:numId w:val="5"/>
        </w:numPr>
      </w:pPr>
      <w:bookmarkStart w:id="77" w:name="_Toc16225"/>
      <w:r>
        <w:rPr>
          <w:rFonts w:hint="eastAsia"/>
        </w:rPr>
        <w:t>健康档案浏览器</w:t>
      </w:r>
      <w:bookmarkEnd w:id="19"/>
      <w:bookmarkEnd w:id="20"/>
      <w:bookmarkEnd w:id="77"/>
    </w:p>
    <w:p w14:paraId="24C95B69">
      <w:pPr>
        <w:ind w:firstLine="640"/>
        <w:rPr>
          <w:szCs w:val="21"/>
        </w:rPr>
      </w:pPr>
      <w:r>
        <w:rPr>
          <w:rFonts w:hint="eastAsia"/>
        </w:rPr>
        <w:t>为平台应用提供统一的健康档案访问入口，医生可通过读卡器利用患者身份证实现读写建档，针对信息浏览，可根据使用者的特定需求提供不同卫生领域的调阅展示，</w:t>
      </w:r>
      <w:r>
        <w:rPr>
          <w:rFonts w:hint="eastAsia" w:ascii="宋体" w:hAnsi="宋体"/>
          <w:kern w:val="0"/>
        </w:rPr>
        <w:t>覆盖全医疗业务信息的信息树，包括健康信息、诊疗信息、检验检查信息、体检信息、公共卫生信息，并且这些居民健康数据的发布机构名称及机构组织编码将一并记录存档，能够充分了解居民健康状况的全景视图，提供</w:t>
      </w:r>
      <w:r>
        <w:rPr>
          <w:rFonts w:hint="eastAsia"/>
        </w:rPr>
        <w:t>健康服务活动三维展示、卫生服务活动时间轴展示等多种方式，</w:t>
      </w:r>
      <w:r>
        <w:rPr>
          <w:rFonts w:hint="eastAsia"/>
          <w:szCs w:val="21"/>
        </w:rPr>
        <w:t>同时</w:t>
      </w:r>
      <w:r>
        <w:rPr>
          <w:rFonts w:hint="eastAsia"/>
        </w:rPr>
        <w:t>配合信息安全手段实现居民健康档案的受控访问</w:t>
      </w:r>
      <w:r>
        <w:rPr>
          <w:rFonts w:hint="eastAsia"/>
          <w:szCs w:val="21"/>
        </w:rPr>
        <w:t>。</w:t>
      </w:r>
    </w:p>
    <w:p w14:paraId="0E8B08B1">
      <w:pPr>
        <w:ind w:firstLine="640"/>
      </w:pPr>
      <w:r>
        <w:rPr>
          <w:rFonts w:hint="eastAsia"/>
        </w:rPr>
        <w:t>健康档案浏览器支持自动监测并统计每日新增居民健康档案数量及对应关键信息，可导出系统内患者信息提供给院方进行患者健康档案建档的监管与分析。</w:t>
      </w:r>
    </w:p>
    <w:p w14:paraId="08959FC3">
      <w:pPr>
        <w:ind w:firstLine="640"/>
      </w:pPr>
      <w:r>
        <w:rPr>
          <w:rFonts w:hint="eastAsia"/>
        </w:rPr>
        <w:t>同时，建设嵌入医生工作站的智能化EHR首页子系统，针对医共体不同层级的用户角色，不同的使用场景，可以提供智能化的首页推送，通过大数据应用引擎，以最适合当前用户的视角来展示居民健康档案信息，并根据被调阅次数最多的记录（统计调阅过当前患者EHR的所有医生）分析当前医生行为习惯，提供价值信息智能推送，以及提供临床辅助和协同管理的服务提醒信息，帮助医生快速了解患者异常值和待办业务等，提高工作效率。</w:t>
      </w:r>
    </w:p>
    <w:p w14:paraId="7B2A398A">
      <w:pPr>
        <w:pStyle w:val="5"/>
        <w:numPr>
          <w:ilvl w:val="2"/>
          <w:numId w:val="5"/>
        </w:numPr>
      </w:pPr>
      <w:bookmarkStart w:id="78" w:name="_Toc28664"/>
      <w:bookmarkStart w:id="79" w:name="_Toc17579"/>
      <w:bookmarkStart w:id="80" w:name="_Toc20330"/>
      <w:bookmarkStart w:id="81" w:name="_Toc13581"/>
      <w:bookmarkStart w:id="82" w:name="_Toc24099"/>
      <w:bookmarkStart w:id="83" w:name="_Toc15030"/>
      <w:bookmarkStart w:id="84" w:name="_Toc11839"/>
      <w:r>
        <w:rPr>
          <w:rFonts w:hint="eastAsia"/>
        </w:rPr>
        <w:t>基本信息</w:t>
      </w:r>
      <w:bookmarkEnd w:id="78"/>
      <w:bookmarkEnd w:id="79"/>
      <w:bookmarkEnd w:id="80"/>
      <w:bookmarkEnd w:id="81"/>
      <w:bookmarkEnd w:id="82"/>
      <w:bookmarkEnd w:id="83"/>
      <w:bookmarkEnd w:id="84"/>
    </w:p>
    <w:p w14:paraId="67B2FC5D">
      <w:pPr>
        <w:pStyle w:val="6"/>
        <w:numPr>
          <w:ilvl w:val="3"/>
          <w:numId w:val="5"/>
        </w:numPr>
      </w:pPr>
      <w:bookmarkStart w:id="85" w:name="_Toc16347"/>
      <w:bookmarkStart w:id="86" w:name="_Toc20145"/>
      <w:r>
        <w:rPr>
          <w:rFonts w:hint="eastAsia"/>
        </w:rPr>
        <w:t>病人信息搜索页面</w:t>
      </w:r>
      <w:bookmarkEnd w:id="85"/>
      <w:bookmarkEnd w:id="86"/>
    </w:p>
    <w:p w14:paraId="77866242">
      <w:pPr>
        <w:ind w:firstLine="640"/>
        <w:rPr>
          <w:rFonts w:eastAsia="宋体"/>
        </w:rPr>
      </w:pPr>
      <w:r>
        <w:rPr>
          <w:rFonts w:hint="eastAsia"/>
        </w:rPr>
        <w:t>支持医务人员登录系统后进行患者的搜索功能，可根据患者编号、身份证、患者姓名等进行搜索，还支持医生进行特定患者的收藏关注，及时获取特殊患者的健康档案数据。</w:t>
      </w:r>
    </w:p>
    <w:p w14:paraId="511F8A43">
      <w:pPr>
        <w:pStyle w:val="6"/>
        <w:numPr>
          <w:ilvl w:val="3"/>
          <w:numId w:val="5"/>
        </w:numPr>
      </w:pPr>
      <w:bookmarkStart w:id="87" w:name="_Toc32490"/>
      <w:bookmarkStart w:id="88" w:name="_Toc19972"/>
      <w:r>
        <w:rPr>
          <w:rFonts w:hint="eastAsia"/>
        </w:rPr>
        <w:t>病人基本信息页面</w:t>
      </w:r>
      <w:bookmarkEnd w:id="87"/>
      <w:bookmarkEnd w:id="88"/>
    </w:p>
    <w:p w14:paraId="603E2AB8">
      <w:pPr>
        <w:ind w:firstLine="640"/>
        <w:rPr>
          <w:rFonts w:eastAsia="宋体"/>
        </w:rPr>
      </w:pPr>
      <w:r>
        <w:rPr>
          <w:rFonts w:hint="eastAsia"/>
        </w:rPr>
        <w:t>支持患者的基本信息管理，包括患者姓名、身份证号、电话号码、居住地址等，同时展示出患者主要相关医疗健康信息，包括就诊次数、检验报告数、检查报告数、门诊处方数、手术记录数、住院处方数、病历文书数、治疗次数、护理次数。</w:t>
      </w:r>
    </w:p>
    <w:p w14:paraId="337FE67E">
      <w:pPr>
        <w:ind w:firstLine="640"/>
        <w:rPr>
          <w:rFonts w:eastAsia="宋体"/>
        </w:rPr>
      </w:pPr>
      <w:r>
        <w:rPr>
          <w:rFonts w:hint="eastAsia"/>
        </w:rPr>
        <w:t>支持维护并展示该患者的相关病史记录。</w:t>
      </w:r>
    </w:p>
    <w:p w14:paraId="40A0DDB3">
      <w:pPr>
        <w:ind w:firstLine="640"/>
      </w:pPr>
      <w:r>
        <w:rPr>
          <w:rFonts w:hint="eastAsia"/>
        </w:rPr>
        <w:t>支持维护并展示该患者历史就诊记录，可以通过开始和结束时间、关键字以及类型进行卫生事件的搜索。时间轴上展示出搜索结果的卫生事件，按时间倒序排序。</w:t>
      </w:r>
    </w:p>
    <w:p w14:paraId="0095F98B">
      <w:pPr>
        <w:ind w:firstLine="640"/>
      </w:pPr>
      <w:r>
        <w:rPr>
          <w:rFonts w:hint="eastAsia"/>
        </w:rPr>
        <w:t>支持关联健康档案的管理医生，规范患者健康监管。</w:t>
      </w:r>
    </w:p>
    <w:p w14:paraId="2FAF5B10">
      <w:pPr>
        <w:pStyle w:val="5"/>
        <w:numPr>
          <w:ilvl w:val="2"/>
          <w:numId w:val="5"/>
        </w:numPr>
      </w:pPr>
      <w:bookmarkStart w:id="89" w:name="_Toc7298"/>
      <w:bookmarkStart w:id="90" w:name="_Toc7125"/>
      <w:bookmarkStart w:id="91" w:name="_Toc21102"/>
      <w:bookmarkStart w:id="92" w:name="_Toc6755"/>
      <w:bookmarkStart w:id="93" w:name="_Toc11293"/>
      <w:bookmarkStart w:id="94" w:name="_Toc17393"/>
      <w:bookmarkStart w:id="95" w:name="_Toc5939"/>
      <w:bookmarkStart w:id="96" w:name="_Toc31474"/>
      <w:r>
        <w:rPr>
          <w:rFonts w:hint="eastAsia"/>
        </w:rPr>
        <w:t>住院</w:t>
      </w:r>
      <w:bookmarkEnd w:id="89"/>
      <w:bookmarkEnd w:id="90"/>
      <w:bookmarkEnd w:id="91"/>
      <w:bookmarkEnd w:id="92"/>
      <w:bookmarkEnd w:id="93"/>
      <w:bookmarkEnd w:id="94"/>
      <w:bookmarkEnd w:id="95"/>
    </w:p>
    <w:p w14:paraId="736E597D">
      <w:pPr>
        <w:ind w:firstLine="640"/>
      </w:pPr>
      <w:r>
        <w:rPr>
          <w:rFonts w:hint="eastAsia"/>
        </w:rPr>
        <w:t>住院分类下包括检查报告、检验报告、医嘱处方、病历文书、护理记录、手术记录、病历本以及出院小结，在报告页面均可双击报告部分展示报告全屏。</w:t>
      </w:r>
    </w:p>
    <w:p w14:paraId="3E140D29">
      <w:pPr>
        <w:pStyle w:val="6"/>
        <w:numPr>
          <w:ilvl w:val="3"/>
          <w:numId w:val="5"/>
        </w:numPr>
      </w:pPr>
      <w:bookmarkStart w:id="97" w:name="_Toc6646"/>
      <w:bookmarkStart w:id="98" w:name="_检查报告"/>
      <w:r>
        <w:rPr>
          <w:rFonts w:hint="eastAsia"/>
        </w:rPr>
        <w:t>检查报告</w:t>
      </w:r>
      <w:bookmarkEnd w:id="97"/>
    </w:p>
    <w:bookmarkEnd w:id="98"/>
    <w:p w14:paraId="446F3F5B">
      <w:pPr>
        <w:ind w:firstLine="640"/>
      </w:pPr>
      <w:r>
        <w:rPr>
          <w:rFonts w:hint="eastAsia"/>
        </w:rPr>
        <w:t>点击检查报告，右侧会出现检查报告页面，通过时间可以搜索就诊记录。选中对应的就诊记录，报告列表中会显示出所有此次就诊的报告列表，点击对应的报告记录，展示对应记录。检查报告分为文字报告以及检查影像报告。</w:t>
      </w:r>
    </w:p>
    <w:p w14:paraId="435430FE">
      <w:pPr>
        <w:ind w:firstLine="640"/>
      </w:pPr>
      <w:r>
        <w:rPr>
          <w:rFonts w:hint="eastAsia"/>
        </w:rPr>
        <w:t>点击影像，展示出检查影像内容，不同类别的影像展示有所不同。</w:t>
      </w:r>
    </w:p>
    <w:p w14:paraId="16411859">
      <w:pPr>
        <w:pStyle w:val="6"/>
        <w:numPr>
          <w:ilvl w:val="3"/>
          <w:numId w:val="5"/>
        </w:numPr>
      </w:pPr>
      <w:bookmarkStart w:id="99" w:name="_Toc20854"/>
      <w:bookmarkStart w:id="100" w:name="_检验报告"/>
      <w:r>
        <w:rPr>
          <w:rFonts w:hint="eastAsia"/>
        </w:rPr>
        <w:t>检验报告</w:t>
      </w:r>
      <w:bookmarkEnd w:id="99"/>
    </w:p>
    <w:bookmarkEnd w:id="100"/>
    <w:p w14:paraId="7774A496">
      <w:pPr>
        <w:ind w:firstLine="640"/>
      </w:pPr>
      <w:r>
        <w:rPr>
          <w:rFonts w:hint="eastAsia"/>
        </w:rPr>
        <w:t>检验报告类似，会在列表中展示此次卫生事件的所有检验报告列表。点击对应报告，页面中间部分展示检验报告单。点击具体的检验项，展示此检验项的同比检验记录。</w:t>
      </w:r>
    </w:p>
    <w:p w14:paraId="1A1964CE">
      <w:pPr>
        <w:pStyle w:val="6"/>
        <w:numPr>
          <w:ilvl w:val="3"/>
          <w:numId w:val="5"/>
        </w:numPr>
      </w:pPr>
      <w:bookmarkStart w:id="101" w:name="_Toc17341"/>
      <w:r>
        <w:rPr>
          <w:rFonts w:hint="eastAsia"/>
        </w:rPr>
        <w:t>医嘱处方</w:t>
      </w:r>
      <w:bookmarkEnd w:id="101"/>
    </w:p>
    <w:p w14:paraId="757C2488">
      <w:pPr>
        <w:ind w:firstLine="640"/>
      </w:pPr>
      <w:r>
        <w:rPr>
          <w:rFonts w:hint="eastAsia"/>
        </w:rPr>
        <w:t>选择对应的患者的住院医嘱，系统支持分类查看患者的住院医嘱情况，医嘱处方分为三种，分别为长期医嘱、临时医嘱、中药医嘱。</w:t>
      </w:r>
    </w:p>
    <w:p w14:paraId="26AD7E63">
      <w:pPr>
        <w:pStyle w:val="6"/>
        <w:numPr>
          <w:ilvl w:val="3"/>
          <w:numId w:val="5"/>
        </w:numPr>
      </w:pPr>
      <w:bookmarkStart w:id="102" w:name="_Toc12354"/>
      <w:r>
        <w:rPr>
          <w:rFonts w:hint="eastAsia"/>
        </w:rPr>
        <w:t>病历文书</w:t>
      </w:r>
      <w:bookmarkEnd w:id="102"/>
    </w:p>
    <w:p w14:paraId="3B9E28E1">
      <w:pPr>
        <w:ind w:firstLine="640"/>
      </w:pPr>
      <w:r>
        <w:rPr>
          <w:rFonts w:hint="eastAsia"/>
        </w:rPr>
        <w:t>选择对应的卫生事件后，展示此次就诊所有病历文书。点击不同病历文书，都可以进行文书的展示，快速查看患者住院病历首页信息。</w:t>
      </w:r>
    </w:p>
    <w:p w14:paraId="05DA9DEC">
      <w:pPr>
        <w:pStyle w:val="6"/>
        <w:numPr>
          <w:ilvl w:val="3"/>
          <w:numId w:val="5"/>
        </w:numPr>
      </w:pPr>
      <w:bookmarkStart w:id="103" w:name="_Toc13847"/>
      <w:r>
        <w:rPr>
          <w:rFonts w:hint="eastAsia"/>
        </w:rPr>
        <w:t>手术记录</w:t>
      </w:r>
      <w:bookmarkEnd w:id="103"/>
    </w:p>
    <w:p w14:paraId="1CEE06B0">
      <w:pPr>
        <w:ind w:firstLine="640"/>
      </w:pPr>
      <w:r>
        <w:rPr>
          <w:rFonts w:hint="eastAsia"/>
        </w:rPr>
        <w:t>点击患者的手术记录信息，可以查看到详细记录的患者此次住院期间的手术情况，包括手术报告等相关信息。</w:t>
      </w:r>
    </w:p>
    <w:p w14:paraId="543C15BD">
      <w:pPr>
        <w:pStyle w:val="6"/>
        <w:numPr>
          <w:ilvl w:val="3"/>
          <w:numId w:val="5"/>
        </w:numPr>
      </w:pPr>
      <w:bookmarkStart w:id="104" w:name="_Toc19336"/>
      <w:r>
        <w:rPr>
          <w:rFonts w:hint="eastAsia"/>
        </w:rPr>
        <w:t>病历本</w:t>
      </w:r>
      <w:bookmarkEnd w:id="104"/>
    </w:p>
    <w:p w14:paraId="134D85F9">
      <w:pPr>
        <w:ind w:firstLine="640"/>
      </w:pPr>
      <w:r>
        <w:rPr>
          <w:rFonts w:hint="eastAsia"/>
        </w:rPr>
        <w:t>点击患者病历本，可以快速地查看所有的病历文书附件，通过合并展示，方便医生查看。</w:t>
      </w:r>
    </w:p>
    <w:p w14:paraId="676911A3">
      <w:pPr>
        <w:pStyle w:val="6"/>
        <w:numPr>
          <w:ilvl w:val="3"/>
          <w:numId w:val="5"/>
        </w:numPr>
      </w:pPr>
      <w:r>
        <w:rPr>
          <w:rFonts w:hint="eastAsia"/>
        </w:rPr>
        <w:t>出院小结</w:t>
      </w:r>
    </w:p>
    <w:p w14:paraId="34327A62">
      <w:pPr>
        <w:ind w:firstLine="640"/>
      </w:pPr>
      <w:r>
        <w:rPr>
          <w:rFonts w:hint="eastAsia"/>
        </w:rPr>
        <w:t>点击患者出院小结，可以快速地查看所有的患者的入院诊断、出院诊断、住院经过、出院情况以及出院医嘱。</w:t>
      </w:r>
    </w:p>
    <w:p w14:paraId="1428E6B3">
      <w:pPr>
        <w:pStyle w:val="5"/>
        <w:numPr>
          <w:ilvl w:val="2"/>
          <w:numId w:val="5"/>
        </w:numPr>
      </w:pPr>
      <w:bookmarkStart w:id="105" w:name="_Toc11547"/>
      <w:bookmarkStart w:id="106" w:name="_Toc20070"/>
      <w:bookmarkStart w:id="107" w:name="_Toc15164"/>
      <w:bookmarkStart w:id="108" w:name="_Toc28928"/>
      <w:bookmarkStart w:id="109" w:name="_Toc25613"/>
      <w:bookmarkStart w:id="110" w:name="_Toc15265"/>
      <w:r>
        <w:rPr>
          <w:rFonts w:hint="eastAsia"/>
        </w:rPr>
        <w:t>门诊</w:t>
      </w:r>
      <w:bookmarkEnd w:id="96"/>
      <w:bookmarkEnd w:id="105"/>
      <w:bookmarkEnd w:id="106"/>
      <w:bookmarkEnd w:id="107"/>
      <w:bookmarkEnd w:id="108"/>
      <w:bookmarkEnd w:id="109"/>
      <w:bookmarkEnd w:id="110"/>
    </w:p>
    <w:p w14:paraId="5C98C787">
      <w:pPr>
        <w:ind w:firstLine="640"/>
        <w:rPr>
          <w:rFonts w:eastAsia="宋体"/>
        </w:rPr>
      </w:pPr>
      <w:r>
        <w:rPr>
          <w:rFonts w:hint="eastAsia"/>
        </w:rPr>
        <w:t>门诊展示包括检查报告、检验报告、门诊处方。</w:t>
      </w:r>
    </w:p>
    <w:p w14:paraId="1B2DBBC4">
      <w:pPr>
        <w:pStyle w:val="6"/>
        <w:numPr>
          <w:ilvl w:val="3"/>
          <w:numId w:val="5"/>
        </w:numPr>
      </w:pPr>
      <w:bookmarkStart w:id="111" w:name="_Toc25754"/>
      <w:r>
        <w:rPr>
          <w:rFonts w:hint="eastAsia"/>
        </w:rPr>
        <w:t>检查报告</w:t>
      </w:r>
      <w:bookmarkEnd w:id="111"/>
    </w:p>
    <w:p w14:paraId="520B7E3E">
      <w:pPr>
        <w:ind w:firstLine="640"/>
      </w:pPr>
      <w:bookmarkStart w:id="112" w:name="_Toc9123"/>
      <w:r>
        <w:rPr>
          <w:rFonts w:hint="eastAsia"/>
        </w:rPr>
        <w:t>点击检查报告，右侧会出现检查报告页面，通过时间可以搜索就诊记录。选中对应的就诊记录，报告列表中会显示出所有此次就诊的报告列表，点击对应的报告记录，展示对应记录。检查报告分为文字报告以及影像报告。</w:t>
      </w:r>
    </w:p>
    <w:p w14:paraId="3B52EB00">
      <w:pPr>
        <w:ind w:firstLine="640"/>
      </w:pPr>
      <w:r>
        <w:rPr>
          <w:rFonts w:hint="eastAsia"/>
        </w:rPr>
        <w:t>点击影像，展示出影像内容，不同类别的影像展示有所不同。</w:t>
      </w:r>
    </w:p>
    <w:p w14:paraId="2EC03850">
      <w:pPr>
        <w:pStyle w:val="6"/>
        <w:numPr>
          <w:ilvl w:val="3"/>
          <w:numId w:val="5"/>
        </w:numPr>
      </w:pPr>
      <w:r>
        <w:rPr>
          <w:rFonts w:hint="eastAsia"/>
        </w:rPr>
        <w:t>检验报告</w:t>
      </w:r>
      <w:bookmarkEnd w:id="112"/>
    </w:p>
    <w:p w14:paraId="0DF700FF">
      <w:pPr>
        <w:ind w:firstLine="640"/>
      </w:pPr>
      <w:bookmarkStart w:id="113" w:name="_Toc1897"/>
      <w:r>
        <w:rPr>
          <w:rFonts w:hint="eastAsia"/>
        </w:rPr>
        <w:t>检验报告类似，会在列表中展示此次卫生事件的所有检验报告列表。点击对应报告，页面中间部分展示检验报告单。点击具体的检验项，展示此检验项的同比检验记录。</w:t>
      </w:r>
    </w:p>
    <w:p w14:paraId="799CC4FF">
      <w:pPr>
        <w:pStyle w:val="6"/>
        <w:numPr>
          <w:ilvl w:val="3"/>
          <w:numId w:val="5"/>
        </w:numPr>
      </w:pPr>
      <w:r>
        <w:rPr>
          <w:rFonts w:hint="eastAsia"/>
        </w:rPr>
        <w:t>门诊处方</w:t>
      </w:r>
      <w:bookmarkEnd w:id="113"/>
    </w:p>
    <w:p w14:paraId="263ABE9A">
      <w:pPr>
        <w:ind w:firstLine="640"/>
      </w:pPr>
      <w:r>
        <w:rPr>
          <w:rFonts w:hint="eastAsia"/>
        </w:rPr>
        <w:t>点击门诊处方，可以查看到门诊处方笺的详细信息。</w:t>
      </w:r>
    </w:p>
    <w:p w14:paraId="505AE367">
      <w:pPr>
        <w:pStyle w:val="5"/>
        <w:numPr>
          <w:ilvl w:val="2"/>
          <w:numId w:val="5"/>
        </w:numPr>
      </w:pPr>
      <w:bookmarkStart w:id="114" w:name="_Toc27164"/>
      <w:bookmarkStart w:id="115" w:name="_Toc30484"/>
      <w:bookmarkStart w:id="116" w:name="_Toc15058"/>
      <w:bookmarkStart w:id="117" w:name="_Toc29221"/>
      <w:bookmarkStart w:id="118" w:name="_Toc17706"/>
      <w:bookmarkStart w:id="119" w:name="_Toc5288"/>
      <w:r>
        <w:rPr>
          <w:rFonts w:hint="eastAsia"/>
        </w:rPr>
        <w:t>基层</w:t>
      </w:r>
      <w:bookmarkEnd w:id="114"/>
      <w:bookmarkEnd w:id="115"/>
      <w:bookmarkEnd w:id="116"/>
      <w:bookmarkEnd w:id="117"/>
      <w:bookmarkEnd w:id="118"/>
      <w:bookmarkEnd w:id="119"/>
    </w:p>
    <w:p w14:paraId="136751B2">
      <w:pPr>
        <w:ind w:firstLine="640"/>
        <w:rPr>
          <w:rFonts w:eastAsia="仿宋_GB2312"/>
        </w:rPr>
      </w:pPr>
      <w:r>
        <w:rPr>
          <w:rFonts w:hint="eastAsia"/>
        </w:rPr>
        <w:t>通过对接基层医疗业务系统，获取基层患者医疗数据，点击采基层模块可以展示基层检查报告，检验报告以及心电报告等基层医疗信息数据。</w:t>
      </w:r>
    </w:p>
    <w:p w14:paraId="086A7DA9">
      <w:pPr>
        <w:pStyle w:val="5"/>
        <w:numPr>
          <w:ilvl w:val="2"/>
          <w:numId w:val="5"/>
        </w:numPr>
      </w:pPr>
      <w:bookmarkStart w:id="120" w:name="_Toc23359"/>
      <w:bookmarkStart w:id="121" w:name="_Toc25584"/>
      <w:bookmarkStart w:id="122" w:name="_Toc11679"/>
      <w:bookmarkStart w:id="123" w:name="_Toc29720"/>
      <w:bookmarkStart w:id="124" w:name="_Toc30768"/>
      <w:bookmarkStart w:id="125" w:name="_Toc28427"/>
      <w:r>
        <w:rPr>
          <w:rFonts w:hint="eastAsia"/>
        </w:rPr>
        <w:t>病历夹</w:t>
      </w:r>
      <w:bookmarkEnd w:id="120"/>
      <w:bookmarkEnd w:id="121"/>
      <w:bookmarkEnd w:id="122"/>
      <w:bookmarkEnd w:id="123"/>
      <w:bookmarkEnd w:id="124"/>
      <w:bookmarkEnd w:id="125"/>
    </w:p>
    <w:p w14:paraId="50E354E6">
      <w:pPr>
        <w:ind w:firstLine="640"/>
      </w:pPr>
      <w:bookmarkStart w:id="126" w:name="_Toc23315"/>
      <w:r>
        <w:rPr>
          <w:rFonts w:hint="eastAsia"/>
        </w:rPr>
        <w:t>病历夹类似住院中的病历文书，系统支持查看患者的住院的病历</w:t>
      </w:r>
      <w:bookmarkEnd w:id="126"/>
      <w:r>
        <w:rPr>
          <w:rFonts w:hint="eastAsia"/>
        </w:rPr>
        <w:t>，快速全面查阅并了解患者的住院就医情况。</w:t>
      </w:r>
    </w:p>
    <w:p w14:paraId="38CC57CF">
      <w:pPr>
        <w:pStyle w:val="4"/>
        <w:numPr>
          <w:ilvl w:val="1"/>
          <w:numId w:val="5"/>
        </w:numPr>
      </w:pPr>
      <w:bookmarkStart w:id="127" w:name="_Toc17421"/>
      <w:bookmarkStart w:id="128" w:name="_Toc2204"/>
      <w:r>
        <w:rPr>
          <w:rFonts w:hint="eastAsia"/>
        </w:rPr>
        <w:t>患者3</w:t>
      </w:r>
      <w:r>
        <w:t>60</w:t>
      </w:r>
      <w:r>
        <w:rPr>
          <w:rFonts w:hint="eastAsia"/>
        </w:rPr>
        <w:t>全景视图</w:t>
      </w:r>
      <w:bookmarkEnd w:id="127"/>
      <w:bookmarkEnd w:id="128"/>
    </w:p>
    <w:p w14:paraId="1DFF6102">
      <w:pPr>
        <w:ind w:firstLine="640"/>
        <w:rPr>
          <w:rFonts w:ascii="仿宋_GB2312"/>
          <w:szCs w:val="28"/>
        </w:rPr>
      </w:pPr>
      <w:r>
        <w:rPr>
          <w:rFonts w:hint="eastAsia" w:ascii="仿宋_GB2312"/>
          <w:szCs w:val="28"/>
        </w:rPr>
        <w:t>患者360视图依托数据中心和数据总线，对患者的电子健康档案进行结构化集中展示，为医共体各级医护人员总体浏览病人诊病信息提供一个统一规范的平台；患者信息的浏览支持通过读卡器实现身份证读写获取。</w:t>
      </w:r>
    </w:p>
    <w:p w14:paraId="1B8D0EBF">
      <w:pPr>
        <w:ind w:firstLine="640"/>
        <w:rPr>
          <w:rFonts w:ascii="仿宋_GB2312"/>
          <w:szCs w:val="28"/>
        </w:rPr>
      </w:pPr>
      <w:r>
        <w:rPr>
          <w:rFonts w:hint="eastAsia" w:ascii="仿宋_GB2312"/>
          <w:szCs w:val="28"/>
        </w:rPr>
        <w:t>基于EMPI,提供数据一致性服务；通过提供病人主索引服务（MPI）,统一管理各医院各系统病人的身份标识，确保病人身份标识的唯一性，关联整合病人所有的临床就诊活动的全部记录，构建跨系统的“以病人为中心”的360度患者视图。</w:t>
      </w:r>
    </w:p>
    <w:p w14:paraId="2699F5ED">
      <w:pPr>
        <w:pStyle w:val="5"/>
        <w:numPr>
          <w:ilvl w:val="2"/>
          <w:numId w:val="5"/>
        </w:numPr>
      </w:pPr>
      <w:bookmarkStart w:id="129" w:name="_Toc14082"/>
      <w:bookmarkStart w:id="130" w:name="_Toc17625"/>
      <w:bookmarkStart w:id="131" w:name="_Toc6858"/>
      <w:bookmarkStart w:id="132" w:name="_Toc32606"/>
      <w:bookmarkStart w:id="133" w:name="_Toc16487"/>
      <w:r>
        <w:rPr>
          <w:rFonts w:hint="eastAsia"/>
        </w:rPr>
        <w:t>患者</w:t>
      </w:r>
      <w:r>
        <w:rPr>
          <w:rFonts w:hint="eastAsia" w:ascii="仿宋" w:hAnsi="仿宋" w:eastAsia="仿宋"/>
        </w:rPr>
        <w:t>匹配</w:t>
      </w:r>
      <w:bookmarkEnd w:id="129"/>
      <w:bookmarkEnd w:id="130"/>
      <w:bookmarkEnd w:id="131"/>
      <w:bookmarkEnd w:id="132"/>
      <w:bookmarkEnd w:id="133"/>
      <w:r>
        <w:rPr>
          <w:rFonts w:hint="eastAsia"/>
        </w:rPr>
        <w:tab/>
      </w:r>
      <w:r>
        <w:rPr>
          <w:rFonts w:hint="eastAsia"/>
        </w:rPr>
        <w:tab/>
      </w:r>
      <w:r>
        <w:rPr>
          <w:rFonts w:hint="eastAsia"/>
        </w:rPr>
        <w:tab/>
      </w:r>
    </w:p>
    <w:p w14:paraId="07E79E54">
      <w:pPr>
        <w:ind w:firstLine="640"/>
        <w:rPr>
          <w:rFonts w:ascii="仿宋_GB2312"/>
          <w:szCs w:val="28"/>
        </w:rPr>
      </w:pPr>
      <w:r>
        <w:rPr>
          <w:rFonts w:hint="eastAsia" w:ascii="仿宋_GB2312"/>
          <w:szCs w:val="28"/>
        </w:rPr>
        <w:t>支持按照患者就诊类型、时间展示就诊时序的功能。</w:t>
      </w:r>
    </w:p>
    <w:p w14:paraId="693C45A4">
      <w:pPr>
        <w:ind w:firstLine="640"/>
        <w:rPr>
          <w:rFonts w:ascii="仿宋_GB2312"/>
          <w:szCs w:val="28"/>
        </w:rPr>
      </w:pPr>
      <w:r>
        <w:rPr>
          <w:rFonts w:hint="eastAsia" w:ascii="仿宋_GB2312"/>
          <w:szCs w:val="28"/>
        </w:rPr>
        <w:t>提供按照就诊时序进行患者数据归集的功能。</w:t>
      </w:r>
    </w:p>
    <w:p w14:paraId="7D8E1243">
      <w:pPr>
        <w:pStyle w:val="5"/>
        <w:numPr>
          <w:ilvl w:val="2"/>
          <w:numId w:val="5"/>
        </w:numPr>
      </w:pPr>
      <w:bookmarkStart w:id="134" w:name="_Toc12948"/>
      <w:bookmarkStart w:id="135" w:name="_Toc20919"/>
      <w:bookmarkStart w:id="136" w:name="_Toc17427"/>
      <w:bookmarkStart w:id="137" w:name="_Toc21568"/>
      <w:bookmarkStart w:id="138" w:name="_Toc17845"/>
      <w:r>
        <w:rPr>
          <w:rFonts w:hint="eastAsia"/>
        </w:rPr>
        <w:t>就诊视图</w:t>
      </w:r>
      <w:bookmarkEnd w:id="134"/>
      <w:bookmarkEnd w:id="135"/>
      <w:bookmarkEnd w:id="136"/>
      <w:bookmarkEnd w:id="137"/>
      <w:bookmarkEnd w:id="138"/>
      <w:r>
        <w:rPr>
          <w:rFonts w:hint="eastAsia"/>
        </w:rPr>
        <w:tab/>
      </w:r>
      <w:r>
        <w:rPr>
          <w:rFonts w:hint="eastAsia"/>
        </w:rPr>
        <w:tab/>
      </w:r>
      <w:r>
        <w:rPr>
          <w:rFonts w:hint="eastAsia"/>
        </w:rPr>
        <w:tab/>
      </w:r>
    </w:p>
    <w:p w14:paraId="3665E627">
      <w:pPr>
        <w:ind w:firstLine="640"/>
        <w:rPr>
          <w:rFonts w:ascii="仿宋_GB2312"/>
          <w:szCs w:val="28"/>
        </w:rPr>
      </w:pPr>
      <w:r>
        <w:rPr>
          <w:rFonts w:hint="eastAsia" w:ascii="仿宋_GB2312"/>
          <w:szCs w:val="28"/>
        </w:rPr>
        <w:t>就诊视图支持查看患者就诊基本信息（门诊和住院）、就诊病历信息、就诊检查检验信息、就诊费用信息、基层健康数据。</w:t>
      </w:r>
    </w:p>
    <w:p w14:paraId="621FA8AE">
      <w:pPr>
        <w:pStyle w:val="5"/>
        <w:numPr>
          <w:ilvl w:val="2"/>
          <w:numId w:val="5"/>
        </w:numPr>
      </w:pPr>
      <w:bookmarkStart w:id="139" w:name="_Toc17370"/>
      <w:bookmarkStart w:id="140" w:name="_Toc32071"/>
      <w:bookmarkStart w:id="141" w:name="_Toc26739"/>
      <w:bookmarkStart w:id="142" w:name="_Toc29634"/>
      <w:bookmarkStart w:id="143" w:name="_Toc1591"/>
      <w:r>
        <w:rPr>
          <w:rFonts w:hint="eastAsia"/>
        </w:rPr>
        <w:t>时间轴视图</w:t>
      </w:r>
      <w:bookmarkEnd w:id="139"/>
      <w:bookmarkEnd w:id="140"/>
      <w:bookmarkEnd w:id="141"/>
      <w:bookmarkEnd w:id="142"/>
      <w:bookmarkEnd w:id="143"/>
      <w:r>
        <w:rPr>
          <w:rFonts w:hint="eastAsia"/>
        </w:rPr>
        <w:tab/>
      </w:r>
      <w:r>
        <w:rPr>
          <w:rFonts w:hint="eastAsia"/>
        </w:rPr>
        <w:tab/>
      </w:r>
      <w:r>
        <w:rPr>
          <w:rFonts w:hint="eastAsia"/>
        </w:rPr>
        <w:tab/>
      </w:r>
    </w:p>
    <w:p w14:paraId="46C7D523">
      <w:pPr>
        <w:ind w:firstLine="640"/>
        <w:rPr>
          <w:rFonts w:ascii="仿宋_GB2312"/>
          <w:szCs w:val="28"/>
        </w:rPr>
      </w:pPr>
      <w:r>
        <w:rPr>
          <w:rFonts w:hint="eastAsia" w:ascii="仿宋_GB2312"/>
          <w:szCs w:val="28"/>
        </w:rPr>
        <w:t>支持患者全生命周期就诊视图展示。</w:t>
      </w:r>
    </w:p>
    <w:p w14:paraId="2451859E">
      <w:pPr>
        <w:ind w:firstLine="640"/>
        <w:rPr>
          <w:rFonts w:ascii="仿宋_GB2312"/>
          <w:szCs w:val="28"/>
        </w:rPr>
      </w:pPr>
      <w:r>
        <w:rPr>
          <w:rFonts w:hint="eastAsia" w:ascii="仿宋_GB2312"/>
          <w:szCs w:val="28"/>
        </w:rPr>
        <w:t>提供患者每次就诊周期治疗过程、病历文书及身体状况信息展示，并提供病历文书的比对。</w:t>
      </w:r>
    </w:p>
    <w:p w14:paraId="55241DA8">
      <w:pPr>
        <w:pStyle w:val="5"/>
        <w:numPr>
          <w:ilvl w:val="2"/>
          <w:numId w:val="5"/>
        </w:numPr>
      </w:pPr>
      <w:bookmarkStart w:id="144" w:name="_Toc5644"/>
      <w:bookmarkStart w:id="145" w:name="_Toc31951"/>
      <w:bookmarkStart w:id="146" w:name="_Toc31758"/>
      <w:bookmarkStart w:id="147" w:name="_Toc4840"/>
      <w:bookmarkStart w:id="148" w:name="_Toc25056"/>
      <w:r>
        <w:rPr>
          <w:rFonts w:hint="eastAsia"/>
        </w:rPr>
        <w:t>综合视图</w:t>
      </w:r>
      <w:bookmarkEnd w:id="144"/>
      <w:bookmarkEnd w:id="145"/>
      <w:bookmarkEnd w:id="146"/>
      <w:bookmarkEnd w:id="147"/>
      <w:bookmarkEnd w:id="148"/>
      <w:r>
        <w:rPr>
          <w:rFonts w:hint="eastAsia"/>
        </w:rPr>
        <w:tab/>
      </w:r>
      <w:r>
        <w:rPr>
          <w:rFonts w:hint="eastAsia"/>
        </w:rPr>
        <w:tab/>
      </w:r>
      <w:r>
        <w:rPr>
          <w:rFonts w:hint="eastAsia"/>
        </w:rPr>
        <w:tab/>
      </w:r>
    </w:p>
    <w:p w14:paraId="7C6C8E03">
      <w:pPr>
        <w:ind w:firstLine="640"/>
        <w:rPr>
          <w:rFonts w:ascii="仿宋_GB2312"/>
          <w:szCs w:val="28"/>
        </w:rPr>
      </w:pPr>
      <w:r>
        <w:rPr>
          <w:rFonts w:hint="eastAsia" w:ascii="仿宋_GB2312"/>
          <w:szCs w:val="28"/>
        </w:rPr>
        <w:t>用户可以通过筛选卫生事件、检查、检验、用药等分类，得到特定患者在医共体内的所有明细信息。</w:t>
      </w:r>
    </w:p>
    <w:p w14:paraId="6E630B79">
      <w:pPr>
        <w:pStyle w:val="5"/>
        <w:numPr>
          <w:ilvl w:val="2"/>
          <w:numId w:val="5"/>
        </w:numPr>
      </w:pPr>
      <w:bookmarkStart w:id="149" w:name="_Toc5418"/>
      <w:bookmarkStart w:id="150" w:name="_Toc32472"/>
      <w:bookmarkStart w:id="151" w:name="_Toc15593"/>
      <w:bookmarkStart w:id="152" w:name="_Toc20712"/>
      <w:bookmarkStart w:id="153" w:name="_Toc7664"/>
      <w:r>
        <w:rPr>
          <w:rFonts w:hint="eastAsia" w:ascii="仿宋" w:hAnsi="仿宋" w:eastAsia="仿宋"/>
        </w:rPr>
        <w:t>数据</w:t>
      </w:r>
      <w:r>
        <w:rPr>
          <w:rFonts w:hint="eastAsia"/>
        </w:rPr>
        <w:t>配置</w:t>
      </w:r>
      <w:bookmarkEnd w:id="149"/>
      <w:bookmarkEnd w:id="150"/>
      <w:bookmarkEnd w:id="151"/>
      <w:bookmarkEnd w:id="152"/>
      <w:bookmarkEnd w:id="153"/>
      <w:r>
        <w:rPr>
          <w:rFonts w:hint="eastAsia"/>
        </w:rPr>
        <w:tab/>
      </w:r>
    </w:p>
    <w:p w14:paraId="75989067">
      <w:pPr>
        <w:ind w:firstLine="640"/>
        <w:rPr>
          <w:rFonts w:ascii="仿宋_GB2312"/>
          <w:szCs w:val="28"/>
        </w:rPr>
      </w:pPr>
      <w:r>
        <w:rPr>
          <w:rFonts w:hint="eastAsia" w:ascii="仿宋_GB2312"/>
          <w:szCs w:val="28"/>
        </w:rPr>
        <w:t>系统支持对所有界面内的信息进行脱敏配置及用户访问限制等。</w:t>
      </w:r>
    </w:p>
    <w:p w14:paraId="17750BA7">
      <w:pPr>
        <w:ind w:firstLine="640"/>
      </w:pPr>
    </w:p>
    <w:p w14:paraId="103A79E1">
      <w:pPr>
        <w:pStyle w:val="5"/>
        <w:numPr>
          <w:ilvl w:val="2"/>
          <w:numId w:val="5"/>
        </w:numPr>
      </w:pPr>
      <w:r>
        <w:rPr>
          <w:rFonts w:hint="eastAsia"/>
        </w:rPr>
        <w:tab/>
      </w:r>
      <w:bookmarkStart w:id="154" w:name="_Toc26080"/>
      <w:r>
        <w:rPr>
          <w:rFonts w:hint="eastAsia"/>
        </w:rPr>
        <w:t>数据分层展示</w:t>
      </w:r>
      <w:bookmarkEnd w:id="154"/>
    </w:p>
    <w:p w14:paraId="2233152B">
      <w:pPr>
        <w:ind w:firstLine="640"/>
        <w:rPr>
          <w:rFonts w:ascii="仿宋_GB2312"/>
          <w:szCs w:val="28"/>
        </w:rPr>
      </w:pPr>
      <w:r>
        <w:rPr>
          <w:rFonts w:hint="eastAsia" w:ascii="仿宋_GB2312"/>
          <w:szCs w:val="28"/>
        </w:rPr>
        <w:t>结合医共体内的数据，分不同层次依次展示</w:t>
      </w:r>
    </w:p>
    <w:p w14:paraId="25F7DBA6">
      <w:pPr>
        <w:pStyle w:val="5"/>
        <w:numPr>
          <w:ilvl w:val="2"/>
          <w:numId w:val="5"/>
        </w:numPr>
      </w:pPr>
      <w:r>
        <w:rPr>
          <w:rFonts w:hint="eastAsia"/>
        </w:rPr>
        <w:tab/>
      </w:r>
      <w:bookmarkStart w:id="155" w:name="_Toc23363"/>
      <w:r>
        <w:rPr>
          <w:rFonts w:hint="eastAsia"/>
        </w:rPr>
        <w:t>数据结合展示</w:t>
      </w:r>
      <w:bookmarkEnd w:id="155"/>
    </w:p>
    <w:p w14:paraId="4FB8EFA7">
      <w:pPr>
        <w:ind w:firstLine="640"/>
        <w:rPr>
          <w:rFonts w:ascii="仿宋_GB2312"/>
          <w:szCs w:val="28"/>
        </w:rPr>
      </w:pPr>
      <w:r>
        <w:rPr>
          <w:rFonts w:hint="eastAsia" w:ascii="仿宋_GB2312"/>
          <w:szCs w:val="28"/>
        </w:rPr>
        <w:t>结合医共体的数据，结合展示</w:t>
      </w:r>
    </w:p>
    <w:p w14:paraId="75422812">
      <w:pPr>
        <w:pStyle w:val="5"/>
        <w:numPr>
          <w:ilvl w:val="2"/>
          <w:numId w:val="5"/>
        </w:numPr>
      </w:pPr>
      <w:bookmarkStart w:id="156" w:name="_Toc20884"/>
      <w:r>
        <w:rPr>
          <w:rFonts w:hint="eastAsia"/>
        </w:rPr>
        <w:t>权限分配</w:t>
      </w:r>
      <w:bookmarkEnd w:id="156"/>
    </w:p>
    <w:p w14:paraId="78ED0483">
      <w:pPr>
        <w:ind w:firstLine="640"/>
        <w:rPr>
          <w:rFonts w:ascii="仿宋_GB2312"/>
          <w:szCs w:val="28"/>
        </w:rPr>
      </w:pPr>
      <w:r>
        <w:rPr>
          <w:rFonts w:hint="eastAsia" w:ascii="仿宋_GB2312"/>
          <w:szCs w:val="28"/>
        </w:rPr>
        <w:t>根据医院要求，按需分配不同职工的权限</w:t>
      </w:r>
    </w:p>
    <w:p w14:paraId="3914715A">
      <w:pPr>
        <w:pStyle w:val="5"/>
        <w:numPr>
          <w:ilvl w:val="2"/>
          <w:numId w:val="5"/>
        </w:numPr>
      </w:pPr>
      <w:bookmarkStart w:id="157" w:name="_Toc10595"/>
      <w:r>
        <w:rPr>
          <w:rFonts w:hint="eastAsia"/>
        </w:rPr>
        <w:t>数据脱敏</w:t>
      </w:r>
      <w:bookmarkEnd w:id="157"/>
    </w:p>
    <w:p w14:paraId="0902B254">
      <w:pPr>
        <w:ind w:firstLine="640"/>
        <w:rPr>
          <w:rFonts w:ascii="仿宋_GB2312"/>
          <w:szCs w:val="28"/>
        </w:rPr>
      </w:pPr>
      <w:r>
        <w:rPr>
          <w:rFonts w:hint="eastAsia" w:ascii="仿宋_GB2312"/>
          <w:szCs w:val="28"/>
        </w:rPr>
        <w:t>对关键字进行脱敏，如身份证、姓名、电话、住址</w:t>
      </w:r>
    </w:p>
    <w:p w14:paraId="46420FD8">
      <w:pPr>
        <w:pStyle w:val="4"/>
        <w:numPr>
          <w:ilvl w:val="1"/>
          <w:numId w:val="5"/>
        </w:numPr>
      </w:pPr>
      <w:bookmarkStart w:id="158" w:name="_Toc30494"/>
      <w:r>
        <w:rPr>
          <w:rFonts w:hint="eastAsia"/>
        </w:rPr>
        <w:t>医院数据中心</w:t>
      </w:r>
      <w:bookmarkEnd w:id="158"/>
    </w:p>
    <w:p w14:paraId="68A46E2B">
      <w:pPr>
        <w:ind w:firstLine="640"/>
        <w:rPr>
          <w:rFonts w:eastAsia="仿宋_GB2312"/>
        </w:rPr>
      </w:pPr>
      <w:r>
        <w:rPr>
          <w:rFonts w:hint="eastAsia"/>
        </w:rPr>
        <w:t>数据中心含有医共体内各医疗机构的医疗数据，平台技术文档在项目完成后提交给建设单位，第三方接入由建设单位审核通过后方可接入。</w:t>
      </w:r>
    </w:p>
    <w:p w14:paraId="074E214F">
      <w:pPr>
        <w:pStyle w:val="5"/>
        <w:numPr>
          <w:ilvl w:val="2"/>
          <w:numId w:val="5"/>
        </w:numPr>
      </w:pPr>
      <w:bookmarkStart w:id="159" w:name="_Toc10277"/>
      <w:bookmarkStart w:id="160" w:name="_Toc5790"/>
      <w:bookmarkStart w:id="161" w:name="_Toc15908"/>
      <w:r>
        <w:rPr>
          <w:rFonts w:hint="eastAsia"/>
        </w:rPr>
        <w:t>临床数据中心</w:t>
      </w:r>
      <w:bookmarkEnd w:id="159"/>
      <w:bookmarkEnd w:id="160"/>
      <w:bookmarkEnd w:id="161"/>
    </w:p>
    <w:p w14:paraId="55AAF84D">
      <w:pPr>
        <w:ind w:firstLine="640"/>
      </w:pPr>
      <w:r>
        <w:rPr>
          <w:rFonts w:hint="eastAsia" w:ascii="仿宋_GB2312"/>
          <w:szCs w:val="28"/>
        </w:rPr>
        <w:t>临床数据中心是一个面向主题的、集成的、可变的、当前的细节数据集合，用于支持即时性的、操作性的、集成的全体信息的需求，</w:t>
      </w:r>
      <w:r>
        <w:rPr>
          <w:rFonts w:hint="eastAsia"/>
        </w:rPr>
        <w:t>为医共体的各类信息化应用提供一个统一的、完整的数据视图，最终实现辅助改善医疗服务质量、减少医疗差错、提高临床科研水平和降低医疗成本等目标。</w:t>
      </w:r>
      <w:r>
        <w:rPr>
          <w:rFonts w:hint="eastAsia" w:ascii="仿宋_GB2312"/>
          <w:szCs w:val="28"/>
        </w:rPr>
        <w:t>临床数据中心数据集主要包括居民患者基本信息、病历概要、门（急）诊诊疗记录、住院诊疗记录、健康体检记录、转诊（院）记录等。</w:t>
      </w:r>
    </w:p>
    <w:p w14:paraId="3B729829">
      <w:pPr>
        <w:pStyle w:val="5"/>
        <w:numPr>
          <w:ilvl w:val="2"/>
          <w:numId w:val="5"/>
        </w:numPr>
      </w:pPr>
      <w:bookmarkStart w:id="162" w:name="_Toc4137"/>
      <w:bookmarkStart w:id="163" w:name="_Toc5637"/>
      <w:bookmarkStart w:id="164" w:name="_Toc2397"/>
      <w:r>
        <w:rPr>
          <w:rFonts w:hint="eastAsia"/>
        </w:rPr>
        <w:t>数据</w:t>
      </w:r>
      <w:bookmarkEnd w:id="162"/>
      <w:r>
        <w:rPr>
          <w:rFonts w:hint="eastAsia"/>
        </w:rPr>
        <w:t>集成平台</w:t>
      </w:r>
      <w:bookmarkEnd w:id="163"/>
      <w:bookmarkEnd w:id="164"/>
    </w:p>
    <w:p w14:paraId="65661F2E">
      <w:pPr>
        <w:ind w:firstLine="640"/>
      </w:pPr>
      <w:r>
        <w:rPr>
          <w:rFonts w:hint="eastAsia"/>
        </w:rPr>
        <w:t>数据集成平台依托工具流的形式，通过可视化的配置，来完成各种数据的抽取，质量检测，数据清洗，数据转化，数据过滤等工作。通过使用它，可以将散落在各个业务系统里的数据进行汇聚整合。平台支持各种数据源的输入及输出，包含但不完全包括，EXCEL，ACCESS，XML，WEBSERVICE,文本，系统信息（如配置变量等参数化数据），动态流数据，表数据（支持大部分常见数据库，如ORACLE,MYSQL,SQLSERVER,DB2等）。在数据处理方面，支持值映射，行列转换，替换字符串内容等，还支持过程中进行分支选择，JAVASCRIPT动态修改数据。所有的ETL工作都可以以作业的形式在后台被调度。</w:t>
      </w:r>
    </w:p>
    <w:p w14:paraId="170D9FC4">
      <w:pPr>
        <w:pStyle w:val="6"/>
        <w:numPr>
          <w:ilvl w:val="3"/>
          <w:numId w:val="5"/>
        </w:numPr>
      </w:pPr>
      <w:r>
        <w:rPr>
          <w:rFonts w:hint="eastAsia"/>
        </w:rPr>
        <w:t>数据标准和规范</w:t>
      </w:r>
    </w:p>
    <w:tbl>
      <w:tblPr>
        <w:tblStyle w:val="16"/>
        <w:tblW w:w="852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19"/>
        <w:gridCol w:w="5515"/>
        <w:gridCol w:w="1788"/>
      </w:tblGrid>
      <w:tr w14:paraId="74229E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1219" w:type="dxa"/>
            <w:tcBorders>
              <w:tl2br w:val="nil"/>
              <w:tr2bl w:val="nil"/>
            </w:tcBorders>
            <w:shd w:val="clear" w:color="auto" w:fill="FFFFFF"/>
            <w:vAlign w:val="center"/>
          </w:tcPr>
          <w:p w14:paraId="29AAFC50">
            <w:pPr>
              <w:pStyle w:val="21"/>
              <w:spacing w:before="81" w:after="81"/>
              <w:rPr>
                <w:b/>
                <w:bCs/>
                <w:szCs w:val="24"/>
              </w:rPr>
            </w:pPr>
            <w:r>
              <w:rPr>
                <w:b/>
                <w:bCs/>
                <w:szCs w:val="24"/>
              </w:rPr>
              <w:t>一级</w:t>
            </w:r>
          </w:p>
          <w:p w14:paraId="68BB1B82">
            <w:pPr>
              <w:pStyle w:val="21"/>
              <w:spacing w:before="81" w:after="81"/>
              <w:rPr>
                <w:b/>
                <w:bCs/>
                <w:szCs w:val="24"/>
              </w:rPr>
            </w:pPr>
            <w:r>
              <w:rPr>
                <w:b/>
                <w:bCs/>
                <w:szCs w:val="24"/>
              </w:rPr>
              <w:t>类目</w:t>
            </w:r>
          </w:p>
        </w:tc>
        <w:tc>
          <w:tcPr>
            <w:tcW w:w="5515" w:type="dxa"/>
            <w:tcBorders>
              <w:tl2br w:val="nil"/>
              <w:tr2bl w:val="nil"/>
            </w:tcBorders>
            <w:shd w:val="clear" w:color="auto" w:fill="FFFFFF"/>
            <w:vAlign w:val="center"/>
          </w:tcPr>
          <w:p w14:paraId="58CE3514">
            <w:pPr>
              <w:pStyle w:val="21"/>
              <w:spacing w:before="81" w:after="81"/>
              <w:rPr>
                <w:b/>
                <w:bCs/>
                <w:szCs w:val="24"/>
              </w:rPr>
            </w:pPr>
            <w:r>
              <w:rPr>
                <w:b/>
                <w:bCs/>
                <w:szCs w:val="24"/>
              </w:rPr>
              <w:t>二级类目</w:t>
            </w:r>
          </w:p>
        </w:tc>
        <w:tc>
          <w:tcPr>
            <w:tcW w:w="1788" w:type="dxa"/>
            <w:tcBorders>
              <w:tl2br w:val="nil"/>
              <w:tr2bl w:val="nil"/>
            </w:tcBorders>
            <w:shd w:val="clear" w:color="auto" w:fill="FFFFFF"/>
            <w:vAlign w:val="center"/>
          </w:tcPr>
          <w:p w14:paraId="4EF2CD0C">
            <w:pPr>
              <w:pStyle w:val="21"/>
              <w:spacing w:before="81" w:after="81"/>
              <w:rPr>
                <w:b/>
                <w:bCs/>
                <w:szCs w:val="24"/>
              </w:rPr>
            </w:pPr>
            <w:r>
              <w:rPr>
                <w:b/>
                <w:bCs/>
                <w:szCs w:val="24"/>
              </w:rPr>
              <w:t>发布单位</w:t>
            </w:r>
          </w:p>
        </w:tc>
      </w:tr>
      <w:tr w14:paraId="228DFE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219" w:type="dxa"/>
            <w:vMerge w:val="restart"/>
            <w:tcBorders>
              <w:tl2br w:val="nil"/>
              <w:tr2bl w:val="nil"/>
            </w:tcBorders>
            <w:vAlign w:val="center"/>
          </w:tcPr>
          <w:p w14:paraId="04508CA5">
            <w:pPr>
              <w:pStyle w:val="21"/>
              <w:spacing w:before="81" w:after="81"/>
              <w:rPr>
                <w:szCs w:val="24"/>
              </w:rPr>
            </w:pPr>
            <w:r>
              <w:rPr>
                <w:szCs w:val="24"/>
              </w:rPr>
              <w:t>数据类</w:t>
            </w:r>
          </w:p>
          <w:p w14:paraId="335863FB">
            <w:pPr>
              <w:pStyle w:val="21"/>
              <w:spacing w:before="81" w:after="81"/>
              <w:rPr>
                <w:szCs w:val="24"/>
              </w:rPr>
            </w:pPr>
            <w:r>
              <w:rPr>
                <w:szCs w:val="24"/>
              </w:rPr>
              <w:t>标准</w:t>
            </w:r>
          </w:p>
        </w:tc>
        <w:tc>
          <w:tcPr>
            <w:tcW w:w="5515" w:type="dxa"/>
            <w:tcBorders>
              <w:tl2br w:val="nil"/>
              <w:tr2bl w:val="nil"/>
            </w:tcBorders>
            <w:vAlign w:val="center"/>
          </w:tcPr>
          <w:p w14:paraId="307B0B84">
            <w:pPr>
              <w:pStyle w:val="21"/>
              <w:spacing w:before="81" w:after="81"/>
              <w:rPr>
                <w:szCs w:val="24"/>
              </w:rPr>
            </w:pPr>
            <w:r>
              <w:rPr>
                <w:szCs w:val="24"/>
              </w:rPr>
              <w:t>卫生信息数据元标准化规则</w:t>
            </w:r>
          </w:p>
        </w:tc>
        <w:tc>
          <w:tcPr>
            <w:tcW w:w="1788" w:type="dxa"/>
            <w:tcBorders>
              <w:tl2br w:val="nil"/>
              <w:tr2bl w:val="nil"/>
            </w:tcBorders>
            <w:vAlign w:val="center"/>
          </w:tcPr>
          <w:p w14:paraId="6278A8B0">
            <w:pPr>
              <w:pStyle w:val="21"/>
              <w:spacing w:before="81" w:after="81"/>
              <w:rPr>
                <w:szCs w:val="24"/>
              </w:rPr>
            </w:pPr>
            <w:r>
              <w:rPr>
                <w:szCs w:val="24"/>
              </w:rPr>
              <w:t>国家卫健委</w:t>
            </w:r>
          </w:p>
        </w:tc>
      </w:tr>
      <w:tr w14:paraId="338079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219" w:type="dxa"/>
            <w:vMerge w:val="continue"/>
            <w:tcBorders>
              <w:tl2br w:val="nil"/>
              <w:tr2bl w:val="nil"/>
            </w:tcBorders>
            <w:vAlign w:val="center"/>
          </w:tcPr>
          <w:p w14:paraId="6AB458CB">
            <w:pPr>
              <w:pStyle w:val="21"/>
              <w:spacing w:before="81" w:after="81"/>
              <w:ind w:firstLine="480"/>
              <w:rPr>
                <w:szCs w:val="24"/>
              </w:rPr>
            </w:pPr>
          </w:p>
        </w:tc>
        <w:tc>
          <w:tcPr>
            <w:tcW w:w="5515" w:type="dxa"/>
            <w:tcBorders>
              <w:tl2br w:val="nil"/>
              <w:tr2bl w:val="nil"/>
            </w:tcBorders>
            <w:vAlign w:val="center"/>
          </w:tcPr>
          <w:p w14:paraId="3A0B5902">
            <w:pPr>
              <w:pStyle w:val="21"/>
              <w:spacing w:before="81" w:after="81"/>
              <w:rPr>
                <w:szCs w:val="24"/>
              </w:rPr>
            </w:pPr>
            <w:r>
              <w:rPr>
                <w:szCs w:val="24"/>
              </w:rPr>
              <w:t>卫生信息数据模式描述指南</w:t>
            </w:r>
          </w:p>
        </w:tc>
        <w:tc>
          <w:tcPr>
            <w:tcW w:w="1788" w:type="dxa"/>
            <w:tcBorders>
              <w:tl2br w:val="nil"/>
              <w:tr2bl w:val="nil"/>
            </w:tcBorders>
          </w:tcPr>
          <w:p w14:paraId="7F418DFC">
            <w:pPr>
              <w:pStyle w:val="21"/>
              <w:spacing w:before="81" w:after="81"/>
              <w:rPr>
                <w:szCs w:val="24"/>
              </w:rPr>
            </w:pPr>
            <w:r>
              <w:rPr>
                <w:szCs w:val="24"/>
              </w:rPr>
              <w:t>国家卫健委</w:t>
            </w:r>
          </w:p>
        </w:tc>
      </w:tr>
      <w:tr w14:paraId="76A986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219" w:type="dxa"/>
            <w:vMerge w:val="continue"/>
            <w:tcBorders>
              <w:tl2br w:val="nil"/>
              <w:tr2bl w:val="nil"/>
            </w:tcBorders>
            <w:vAlign w:val="center"/>
          </w:tcPr>
          <w:p w14:paraId="21C8099C">
            <w:pPr>
              <w:pStyle w:val="21"/>
              <w:spacing w:before="81" w:after="81"/>
              <w:ind w:firstLine="480"/>
              <w:rPr>
                <w:szCs w:val="24"/>
              </w:rPr>
            </w:pPr>
          </w:p>
        </w:tc>
        <w:tc>
          <w:tcPr>
            <w:tcW w:w="5515" w:type="dxa"/>
            <w:tcBorders>
              <w:tl2br w:val="nil"/>
              <w:tr2bl w:val="nil"/>
            </w:tcBorders>
            <w:vAlign w:val="center"/>
          </w:tcPr>
          <w:p w14:paraId="308948D5">
            <w:pPr>
              <w:pStyle w:val="21"/>
              <w:spacing w:before="81" w:after="81"/>
              <w:rPr>
                <w:szCs w:val="24"/>
              </w:rPr>
            </w:pPr>
            <w:r>
              <w:rPr>
                <w:szCs w:val="24"/>
              </w:rPr>
              <w:t>卫生信息数据集元数据规范</w:t>
            </w:r>
          </w:p>
        </w:tc>
        <w:tc>
          <w:tcPr>
            <w:tcW w:w="1788" w:type="dxa"/>
            <w:tcBorders>
              <w:tl2br w:val="nil"/>
              <w:tr2bl w:val="nil"/>
            </w:tcBorders>
          </w:tcPr>
          <w:p w14:paraId="1EE66FC6">
            <w:pPr>
              <w:pStyle w:val="21"/>
              <w:spacing w:before="81" w:after="81"/>
              <w:rPr>
                <w:szCs w:val="24"/>
              </w:rPr>
            </w:pPr>
            <w:r>
              <w:rPr>
                <w:szCs w:val="24"/>
              </w:rPr>
              <w:t>国家卫健委</w:t>
            </w:r>
          </w:p>
        </w:tc>
      </w:tr>
      <w:tr w14:paraId="24C9FC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219" w:type="dxa"/>
            <w:vMerge w:val="continue"/>
            <w:tcBorders>
              <w:tl2br w:val="nil"/>
              <w:tr2bl w:val="nil"/>
            </w:tcBorders>
            <w:vAlign w:val="center"/>
          </w:tcPr>
          <w:p w14:paraId="5A07A71F">
            <w:pPr>
              <w:pStyle w:val="21"/>
              <w:spacing w:before="81" w:after="81"/>
              <w:ind w:firstLine="480"/>
              <w:rPr>
                <w:szCs w:val="24"/>
              </w:rPr>
            </w:pPr>
          </w:p>
        </w:tc>
        <w:tc>
          <w:tcPr>
            <w:tcW w:w="5515" w:type="dxa"/>
            <w:tcBorders>
              <w:tl2br w:val="nil"/>
              <w:tr2bl w:val="nil"/>
            </w:tcBorders>
            <w:vAlign w:val="center"/>
          </w:tcPr>
          <w:p w14:paraId="38AB4B3C">
            <w:pPr>
              <w:pStyle w:val="21"/>
              <w:spacing w:before="81" w:after="81"/>
              <w:rPr>
                <w:szCs w:val="24"/>
              </w:rPr>
            </w:pPr>
            <w:r>
              <w:rPr>
                <w:szCs w:val="24"/>
              </w:rPr>
              <w:t>卫生信息数据集分类与编码</w:t>
            </w:r>
          </w:p>
        </w:tc>
        <w:tc>
          <w:tcPr>
            <w:tcW w:w="1788" w:type="dxa"/>
            <w:tcBorders>
              <w:tl2br w:val="nil"/>
              <w:tr2bl w:val="nil"/>
            </w:tcBorders>
          </w:tcPr>
          <w:p w14:paraId="00E34DD4">
            <w:pPr>
              <w:pStyle w:val="21"/>
              <w:spacing w:before="81" w:after="81"/>
              <w:rPr>
                <w:szCs w:val="24"/>
              </w:rPr>
            </w:pPr>
            <w:r>
              <w:rPr>
                <w:szCs w:val="24"/>
              </w:rPr>
              <w:t>国家卫健委</w:t>
            </w:r>
          </w:p>
        </w:tc>
      </w:tr>
      <w:tr w14:paraId="71C72C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219" w:type="dxa"/>
            <w:vMerge w:val="continue"/>
            <w:tcBorders>
              <w:tl2br w:val="nil"/>
              <w:tr2bl w:val="nil"/>
            </w:tcBorders>
            <w:vAlign w:val="center"/>
          </w:tcPr>
          <w:p w14:paraId="1217E49B">
            <w:pPr>
              <w:pStyle w:val="21"/>
              <w:spacing w:before="81" w:after="81"/>
              <w:ind w:firstLine="480"/>
              <w:rPr>
                <w:szCs w:val="24"/>
              </w:rPr>
            </w:pPr>
          </w:p>
        </w:tc>
        <w:tc>
          <w:tcPr>
            <w:tcW w:w="5515" w:type="dxa"/>
            <w:tcBorders>
              <w:tl2br w:val="nil"/>
              <w:tr2bl w:val="nil"/>
            </w:tcBorders>
            <w:vAlign w:val="center"/>
          </w:tcPr>
          <w:p w14:paraId="2DBC88D4">
            <w:pPr>
              <w:pStyle w:val="21"/>
              <w:spacing w:before="81" w:after="81"/>
              <w:rPr>
                <w:szCs w:val="24"/>
              </w:rPr>
            </w:pPr>
            <w:r>
              <w:rPr>
                <w:szCs w:val="24"/>
              </w:rPr>
              <w:t>电子病历基本数据集编制规范（征求意见稿）</w:t>
            </w:r>
          </w:p>
        </w:tc>
        <w:tc>
          <w:tcPr>
            <w:tcW w:w="1788" w:type="dxa"/>
            <w:tcBorders>
              <w:tl2br w:val="nil"/>
              <w:tr2bl w:val="nil"/>
            </w:tcBorders>
          </w:tcPr>
          <w:p w14:paraId="20F38750">
            <w:pPr>
              <w:pStyle w:val="21"/>
              <w:spacing w:before="81" w:after="81"/>
              <w:rPr>
                <w:szCs w:val="24"/>
              </w:rPr>
            </w:pPr>
            <w:r>
              <w:rPr>
                <w:szCs w:val="24"/>
              </w:rPr>
              <w:t>国家卫健委</w:t>
            </w:r>
          </w:p>
        </w:tc>
      </w:tr>
      <w:tr w14:paraId="3D3FEC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219" w:type="dxa"/>
            <w:vMerge w:val="continue"/>
            <w:tcBorders>
              <w:tl2br w:val="nil"/>
              <w:tr2bl w:val="nil"/>
            </w:tcBorders>
            <w:vAlign w:val="center"/>
          </w:tcPr>
          <w:p w14:paraId="0ACABA65">
            <w:pPr>
              <w:pStyle w:val="21"/>
              <w:spacing w:before="81" w:after="81"/>
              <w:ind w:firstLine="480"/>
              <w:rPr>
                <w:szCs w:val="24"/>
              </w:rPr>
            </w:pPr>
          </w:p>
        </w:tc>
        <w:tc>
          <w:tcPr>
            <w:tcW w:w="5515" w:type="dxa"/>
            <w:tcBorders>
              <w:tl2br w:val="nil"/>
              <w:tr2bl w:val="nil"/>
            </w:tcBorders>
            <w:vAlign w:val="center"/>
          </w:tcPr>
          <w:p w14:paraId="364D4239">
            <w:pPr>
              <w:pStyle w:val="21"/>
              <w:spacing w:before="81" w:after="81"/>
              <w:rPr>
                <w:szCs w:val="24"/>
              </w:rPr>
            </w:pPr>
            <w:r>
              <w:rPr>
                <w:szCs w:val="24"/>
              </w:rPr>
              <w:t>健康档案基本数据集编制规范（试行）</w:t>
            </w:r>
          </w:p>
        </w:tc>
        <w:tc>
          <w:tcPr>
            <w:tcW w:w="1788" w:type="dxa"/>
            <w:tcBorders>
              <w:tl2br w:val="nil"/>
              <w:tr2bl w:val="nil"/>
            </w:tcBorders>
          </w:tcPr>
          <w:p w14:paraId="1772EAAC">
            <w:pPr>
              <w:pStyle w:val="21"/>
              <w:spacing w:before="81" w:after="81"/>
              <w:rPr>
                <w:szCs w:val="24"/>
              </w:rPr>
            </w:pPr>
            <w:r>
              <w:rPr>
                <w:szCs w:val="24"/>
              </w:rPr>
              <w:t>国家卫健委</w:t>
            </w:r>
          </w:p>
        </w:tc>
      </w:tr>
      <w:tr w14:paraId="7A6550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219" w:type="dxa"/>
            <w:vMerge w:val="continue"/>
            <w:tcBorders>
              <w:tl2br w:val="nil"/>
              <w:tr2bl w:val="nil"/>
            </w:tcBorders>
            <w:vAlign w:val="center"/>
          </w:tcPr>
          <w:p w14:paraId="6DDD1F9E">
            <w:pPr>
              <w:pStyle w:val="21"/>
              <w:spacing w:before="81" w:after="81"/>
              <w:ind w:firstLine="480"/>
              <w:rPr>
                <w:szCs w:val="24"/>
              </w:rPr>
            </w:pPr>
          </w:p>
        </w:tc>
        <w:tc>
          <w:tcPr>
            <w:tcW w:w="5515" w:type="dxa"/>
            <w:tcBorders>
              <w:tl2br w:val="nil"/>
              <w:tr2bl w:val="nil"/>
            </w:tcBorders>
            <w:vAlign w:val="center"/>
          </w:tcPr>
          <w:p w14:paraId="3E913E63">
            <w:pPr>
              <w:pStyle w:val="21"/>
              <w:spacing w:before="81" w:after="81"/>
              <w:rPr>
                <w:szCs w:val="24"/>
              </w:rPr>
            </w:pPr>
            <w:r>
              <w:rPr>
                <w:szCs w:val="24"/>
              </w:rPr>
              <w:t>健康档案公用数据元标准（试行）</w:t>
            </w:r>
          </w:p>
        </w:tc>
        <w:tc>
          <w:tcPr>
            <w:tcW w:w="1788" w:type="dxa"/>
            <w:tcBorders>
              <w:tl2br w:val="nil"/>
              <w:tr2bl w:val="nil"/>
            </w:tcBorders>
          </w:tcPr>
          <w:p w14:paraId="29B19F8F">
            <w:pPr>
              <w:pStyle w:val="21"/>
              <w:spacing w:before="81" w:after="81"/>
              <w:rPr>
                <w:szCs w:val="24"/>
              </w:rPr>
            </w:pPr>
            <w:r>
              <w:rPr>
                <w:szCs w:val="24"/>
              </w:rPr>
              <w:t>国家卫健委</w:t>
            </w:r>
          </w:p>
        </w:tc>
      </w:tr>
      <w:tr w14:paraId="5697AB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219" w:type="dxa"/>
            <w:vMerge w:val="continue"/>
            <w:tcBorders>
              <w:tl2br w:val="nil"/>
              <w:tr2bl w:val="nil"/>
            </w:tcBorders>
            <w:vAlign w:val="center"/>
          </w:tcPr>
          <w:p w14:paraId="7A67F5E7">
            <w:pPr>
              <w:pStyle w:val="21"/>
              <w:spacing w:before="81" w:after="81"/>
              <w:ind w:firstLine="480"/>
              <w:rPr>
                <w:szCs w:val="24"/>
              </w:rPr>
            </w:pPr>
          </w:p>
        </w:tc>
        <w:tc>
          <w:tcPr>
            <w:tcW w:w="5515" w:type="dxa"/>
            <w:tcBorders>
              <w:tl2br w:val="nil"/>
              <w:tr2bl w:val="nil"/>
            </w:tcBorders>
            <w:vAlign w:val="center"/>
          </w:tcPr>
          <w:p w14:paraId="779E9BA0">
            <w:pPr>
              <w:pStyle w:val="21"/>
              <w:spacing w:before="81" w:after="81"/>
              <w:rPr>
                <w:szCs w:val="24"/>
              </w:rPr>
            </w:pPr>
            <w:r>
              <w:rPr>
                <w:szCs w:val="24"/>
              </w:rPr>
              <w:t>健康档案基本架构与数据标准（试行）</w:t>
            </w:r>
          </w:p>
        </w:tc>
        <w:tc>
          <w:tcPr>
            <w:tcW w:w="1788" w:type="dxa"/>
            <w:tcBorders>
              <w:tl2br w:val="nil"/>
              <w:tr2bl w:val="nil"/>
            </w:tcBorders>
          </w:tcPr>
          <w:p w14:paraId="513B4D40">
            <w:pPr>
              <w:pStyle w:val="21"/>
              <w:spacing w:before="81" w:after="81"/>
              <w:rPr>
                <w:szCs w:val="24"/>
              </w:rPr>
            </w:pPr>
            <w:r>
              <w:rPr>
                <w:szCs w:val="24"/>
              </w:rPr>
              <w:t>国家卫健委</w:t>
            </w:r>
          </w:p>
        </w:tc>
      </w:tr>
      <w:tr w14:paraId="0590A2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219" w:type="dxa"/>
            <w:vMerge w:val="continue"/>
            <w:tcBorders>
              <w:tl2br w:val="nil"/>
              <w:tr2bl w:val="nil"/>
            </w:tcBorders>
            <w:vAlign w:val="center"/>
          </w:tcPr>
          <w:p w14:paraId="1DF44B50">
            <w:pPr>
              <w:pStyle w:val="21"/>
              <w:spacing w:before="81" w:after="81"/>
              <w:ind w:firstLine="480"/>
              <w:rPr>
                <w:szCs w:val="24"/>
              </w:rPr>
            </w:pPr>
          </w:p>
        </w:tc>
        <w:tc>
          <w:tcPr>
            <w:tcW w:w="5515" w:type="dxa"/>
            <w:tcBorders>
              <w:tl2br w:val="nil"/>
              <w:tr2bl w:val="nil"/>
            </w:tcBorders>
            <w:vAlign w:val="center"/>
          </w:tcPr>
          <w:p w14:paraId="6E0C34C4">
            <w:pPr>
              <w:pStyle w:val="21"/>
              <w:spacing w:before="81" w:after="81"/>
              <w:rPr>
                <w:szCs w:val="24"/>
              </w:rPr>
            </w:pPr>
            <w:r>
              <w:rPr>
                <w:szCs w:val="24"/>
              </w:rPr>
              <w:t>健康档案基本数据集标准（试行）——32个</w:t>
            </w:r>
          </w:p>
        </w:tc>
        <w:tc>
          <w:tcPr>
            <w:tcW w:w="1788" w:type="dxa"/>
            <w:tcBorders>
              <w:tl2br w:val="nil"/>
              <w:tr2bl w:val="nil"/>
            </w:tcBorders>
          </w:tcPr>
          <w:p w14:paraId="08AA19B5">
            <w:pPr>
              <w:pStyle w:val="21"/>
              <w:spacing w:before="81" w:after="81"/>
              <w:rPr>
                <w:szCs w:val="24"/>
              </w:rPr>
            </w:pPr>
            <w:r>
              <w:rPr>
                <w:szCs w:val="24"/>
              </w:rPr>
              <w:t>国家卫健委</w:t>
            </w:r>
          </w:p>
        </w:tc>
      </w:tr>
      <w:tr w14:paraId="33C5CB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219" w:type="dxa"/>
            <w:vMerge w:val="continue"/>
            <w:tcBorders>
              <w:tl2br w:val="nil"/>
              <w:tr2bl w:val="nil"/>
            </w:tcBorders>
            <w:vAlign w:val="center"/>
          </w:tcPr>
          <w:p w14:paraId="3E970F0F">
            <w:pPr>
              <w:pStyle w:val="21"/>
              <w:spacing w:before="81" w:after="81"/>
              <w:ind w:firstLine="480"/>
              <w:rPr>
                <w:szCs w:val="24"/>
              </w:rPr>
            </w:pPr>
          </w:p>
        </w:tc>
        <w:tc>
          <w:tcPr>
            <w:tcW w:w="5515" w:type="dxa"/>
            <w:tcBorders>
              <w:tl2br w:val="nil"/>
              <w:tr2bl w:val="nil"/>
            </w:tcBorders>
            <w:vAlign w:val="center"/>
          </w:tcPr>
          <w:p w14:paraId="410F9BF2">
            <w:pPr>
              <w:pStyle w:val="21"/>
              <w:spacing w:before="81" w:after="81"/>
              <w:rPr>
                <w:szCs w:val="24"/>
              </w:rPr>
            </w:pPr>
            <w:r>
              <w:rPr>
                <w:szCs w:val="24"/>
              </w:rPr>
              <w:t>电子病历基本架构与数据标准（征求意见稿）</w:t>
            </w:r>
          </w:p>
        </w:tc>
        <w:tc>
          <w:tcPr>
            <w:tcW w:w="1788" w:type="dxa"/>
            <w:tcBorders>
              <w:tl2br w:val="nil"/>
              <w:tr2bl w:val="nil"/>
            </w:tcBorders>
          </w:tcPr>
          <w:p w14:paraId="53382162">
            <w:pPr>
              <w:pStyle w:val="21"/>
              <w:spacing w:before="81" w:after="81"/>
              <w:rPr>
                <w:szCs w:val="24"/>
              </w:rPr>
            </w:pPr>
            <w:r>
              <w:rPr>
                <w:szCs w:val="24"/>
              </w:rPr>
              <w:t>国家卫健委</w:t>
            </w:r>
          </w:p>
        </w:tc>
      </w:tr>
      <w:tr w14:paraId="3B1F9D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219" w:type="dxa"/>
            <w:vMerge w:val="continue"/>
            <w:tcBorders>
              <w:tl2br w:val="nil"/>
              <w:tr2bl w:val="nil"/>
            </w:tcBorders>
            <w:vAlign w:val="center"/>
          </w:tcPr>
          <w:p w14:paraId="6E366169">
            <w:pPr>
              <w:pStyle w:val="21"/>
              <w:spacing w:before="81" w:after="81"/>
              <w:ind w:firstLine="480"/>
              <w:rPr>
                <w:szCs w:val="24"/>
              </w:rPr>
            </w:pPr>
          </w:p>
        </w:tc>
        <w:tc>
          <w:tcPr>
            <w:tcW w:w="5515" w:type="dxa"/>
            <w:tcBorders>
              <w:tl2br w:val="nil"/>
              <w:tr2bl w:val="nil"/>
            </w:tcBorders>
            <w:vAlign w:val="center"/>
          </w:tcPr>
          <w:p w14:paraId="3AEFA2A8">
            <w:pPr>
              <w:pStyle w:val="21"/>
              <w:spacing w:before="81" w:after="81"/>
              <w:rPr>
                <w:szCs w:val="24"/>
              </w:rPr>
            </w:pPr>
            <w:r>
              <w:rPr>
                <w:szCs w:val="24"/>
              </w:rPr>
              <w:t>电子病历基本内容框架图（征求意见稿）</w:t>
            </w:r>
          </w:p>
        </w:tc>
        <w:tc>
          <w:tcPr>
            <w:tcW w:w="1788" w:type="dxa"/>
            <w:tcBorders>
              <w:tl2br w:val="nil"/>
              <w:tr2bl w:val="nil"/>
            </w:tcBorders>
          </w:tcPr>
          <w:p w14:paraId="569910DC">
            <w:pPr>
              <w:pStyle w:val="21"/>
              <w:spacing w:before="81" w:after="81"/>
              <w:rPr>
                <w:szCs w:val="24"/>
              </w:rPr>
            </w:pPr>
            <w:r>
              <w:rPr>
                <w:szCs w:val="24"/>
              </w:rPr>
              <w:t>国家卫健委</w:t>
            </w:r>
          </w:p>
        </w:tc>
      </w:tr>
      <w:tr w14:paraId="3DE7CD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219" w:type="dxa"/>
            <w:vMerge w:val="continue"/>
            <w:tcBorders>
              <w:tl2br w:val="nil"/>
              <w:tr2bl w:val="nil"/>
            </w:tcBorders>
            <w:vAlign w:val="center"/>
          </w:tcPr>
          <w:p w14:paraId="58FC7FA9">
            <w:pPr>
              <w:pStyle w:val="21"/>
              <w:spacing w:before="81" w:after="81"/>
              <w:ind w:firstLine="480"/>
              <w:rPr>
                <w:szCs w:val="24"/>
              </w:rPr>
            </w:pPr>
          </w:p>
        </w:tc>
        <w:tc>
          <w:tcPr>
            <w:tcW w:w="5515" w:type="dxa"/>
            <w:tcBorders>
              <w:tl2br w:val="nil"/>
              <w:tr2bl w:val="nil"/>
            </w:tcBorders>
            <w:vAlign w:val="center"/>
          </w:tcPr>
          <w:p w14:paraId="7CC09A67">
            <w:pPr>
              <w:pStyle w:val="21"/>
              <w:spacing w:before="81" w:after="81"/>
              <w:rPr>
                <w:szCs w:val="24"/>
              </w:rPr>
            </w:pPr>
            <w:r>
              <w:rPr>
                <w:szCs w:val="24"/>
              </w:rPr>
              <w:t>电子病历数据组与数据元（征求意见稿）</w:t>
            </w:r>
          </w:p>
        </w:tc>
        <w:tc>
          <w:tcPr>
            <w:tcW w:w="1788" w:type="dxa"/>
            <w:tcBorders>
              <w:tl2br w:val="nil"/>
              <w:tr2bl w:val="nil"/>
            </w:tcBorders>
          </w:tcPr>
          <w:p w14:paraId="4DE95E7D">
            <w:pPr>
              <w:pStyle w:val="21"/>
              <w:spacing w:before="81" w:after="81"/>
              <w:rPr>
                <w:szCs w:val="24"/>
              </w:rPr>
            </w:pPr>
            <w:r>
              <w:rPr>
                <w:szCs w:val="24"/>
              </w:rPr>
              <w:t>国家卫健委</w:t>
            </w:r>
          </w:p>
        </w:tc>
      </w:tr>
      <w:tr w14:paraId="6D099F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219" w:type="dxa"/>
            <w:vMerge w:val="continue"/>
            <w:tcBorders>
              <w:tl2br w:val="nil"/>
              <w:tr2bl w:val="nil"/>
            </w:tcBorders>
            <w:vAlign w:val="center"/>
          </w:tcPr>
          <w:p w14:paraId="471DD5ED">
            <w:pPr>
              <w:pStyle w:val="21"/>
              <w:spacing w:before="81" w:after="81"/>
              <w:ind w:firstLine="480"/>
              <w:rPr>
                <w:szCs w:val="24"/>
              </w:rPr>
            </w:pPr>
          </w:p>
        </w:tc>
        <w:tc>
          <w:tcPr>
            <w:tcW w:w="5515" w:type="dxa"/>
            <w:tcBorders>
              <w:tl2br w:val="nil"/>
              <w:tr2bl w:val="nil"/>
            </w:tcBorders>
            <w:vAlign w:val="center"/>
          </w:tcPr>
          <w:p w14:paraId="057081CD">
            <w:pPr>
              <w:pStyle w:val="21"/>
              <w:spacing w:before="81" w:after="81"/>
              <w:rPr>
                <w:szCs w:val="24"/>
              </w:rPr>
            </w:pPr>
            <w:r>
              <w:rPr>
                <w:szCs w:val="24"/>
              </w:rPr>
              <w:t>电子病历基础模板：试行-19个</w:t>
            </w:r>
          </w:p>
        </w:tc>
        <w:tc>
          <w:tcPr>
            <w:tcW w:w="1788" w:type="dxa"/>
            <w:tcBorders>
              <w:tl2br w:val="nil"/>
              <w:tr2bl w:val="nil"/>
            </w:tcBorders>
          </w:tcPr>
          <w:p w14:paraId="7D4DAC95">
            <w:pPr>
              <w:pStyle w:val="21"/>
              <w:spacing w:before="81" w:after="81"/>
              <w:rPr>
                <w:szCs w:val="24"/>
              </w:rPr>
            </w:pPr>
            <w:r>
              <w:rPr>
                <w:szCs w:val="24"/>
              </w:rPr>
              <w:t>国家卫健委</w:t>
            </w:r>
          </w:p>
        </w:tc>
      </w:tr>
      <w:tr w14:paraId="19AF77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219" w:type="dxa"/>
            <w:vMerge w:val="continue"/>
            <w:tcBorders>
              <w:tl2br w:val="nil"/>
              <w:tr2bl w:val="nil"/>
            </w:tcBorders>
            <w:vAlign w:val="center"/>
          </w:tcPr>
          <w:p w14:paraId="696E569C">
            <w:pPr>
              <w:pStyle w:val="21"/>
              <w:spacing w:before="81" w:after="81"/>
              <w:ind w:firstLine="480"/>
              <w:rPr>
                <w:szCs w:val="24"/>
              </w:rPr>
            </w:pPr>
          </w:p>
        </w:tc>
        <w:tc>
          <w:tcPr>
            <w:tcW w:w="5515" w:type="dxa"/>
            <w:tcBorders>
              <w:tl2br w:val="nil"/>
              <w:tr2bl w:val="nil"/>
            </w:tcBorders>
            <w:vAlign w:val="center"/>
          </w:tcPr>
          <w:p w14:paraId="62980FC7">
            <w:pPr>
              <w:pStyle w:val="21"/>
              <w:spacing w:before="81" w:after="81"/>
              <w:rPr>
                <w:szCs w:val="24"/>
              </w:rPr>
            </w:pPr>
            <w:r>
              <w:rPr>
                <w:szCs w:val="24"/>
              </w:rPr>
              <w:t>国家卫生数据字典与元数据管理（试行）</w:t>
            </w:r>
          </w:p>
        </w:tc>
        <w:tc>
          <w:tcPr>
            <w:tcW w:w="1788" w:type="dxa"/>
            <w:tcBorders>
              <w:tl2br w:val="nil"/>
              <w:tr2bl w:val="nil"/>
            </w:tcBorders>
          </w:tcPr>
          <w:p w14:paraId="391DD14D">
            <w:pPr>
              <w:pStyle w:val="21"/>
              <w:spacing w:before="81" w:after="81"/>
              <w:rPr>
                <w:szCs w:val="24"/>
              </w:rPr>
            </w:pPr>
            <w:r>
              <w:rPr>
                <w:szCs w:val="24"/>
              </w:rPr>
              <w:t>国家卫健委</w:t>
            </w:r>
          </w:p>
        </w:tc>
      </w:tr>
      <w:tr w14:paraId="58FE6A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219" w:type="dxa"/>
            <w:vMerge w:val="continue"/>
            <w:tcBorders>
              <w:tl2br w:val="nil"/>
              <w:tr2bl w:val="nil"/>
            </w:tcBorders>
            <w:vAlign w:val="center"/>
          </w:tcPr>
          <w:p w14:paraId="369A0F66">
            <w:pPr>
              <w:pStyle w:val="21"/>
              <w:spacing w:before="81" w:after="81"/>
              <w:ind w:firstLine="480"/>
              <w:rPr>
                <w:szCs w:val="24"/>
              </w:rPr>
            </w:pPr>
          </w:p>
        </w:tc>
        <w:tc>
          <w:tcPr>
            <w:tcW w:w="5515" w:type="dxa"/>
            <w:tcBorders>
              <w:tl2br w:val="nil"/>
              <w:tr2bl w:val="nil"/>
            </w:tcBorders>
            <w:vAlign w:val="center"/>
          </w:tcPr>
          <w:p w14:paraId="27257AB2">
            <w:pPr>
              <w:pStyle w:val="21"/>
              <w:spacing w:before="81" w:after="81"/>
              <w:rPr>
                <w:szCs w:val="24"/>
              </w:rPr>
            </w:pPr>
            <w:r>
              <w:rPr>
                <w:szCs w:val="24"/>
              </w:rPr>
              <w:t>ICD-10(国际疾病代码)</w:t>
            </w:r>
          </w:p>
        </w:tc>
        <w:tc>
          <w:tcPr>
            <w:tcW w:w="1788" w:type="dxa"/>
            <w:tcBorders>
              <w:tl2br w:val="nil"/>
              <w:tr2bl w:val="nil"/>
            </w:tcBorders>
          </w:tcPr>
          <w:p w14:paraId="32CD9240">
            <w:pPr>
              <w:pStyle w:val="21"/>
              <w:spacing w:before="81" w:after="81"/>
              <w:rPr>
                <w:szCs w:val="24"/>
              </w:rPr>
            </w:pPr>
            <w:r>
              <w:rPr>
                <w:szCs w:val="24"/>
              </w:rPr>
              <w:t>国家卫健委</w:t>
            </w:r>
          </w:p>
        </w:tc>
      </w:tr>
      <w:tr w14:paraId="2A6967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219" w:type="dxa"/>
            <w:vMerge w:val="continue"/>
            <w:tcBorders>
              <w:tl2br w:val="nil"/>
              <w:tr2bl w:val="nil"/>
            </w:tcBorders>
            <w:vAlign w:val="center"/>
          </w:tcPr>
          <w:p w14:paraId="33074A5E">
            <w:pPr>
              <w:pStyle w:val="21"/>
              <w:spacing w:before="81" w:after="81"/>
              <w:ind w:firstLine="480"/>
              <w:rPr>
                <w:szCs w:val="24"/>
              </w:rPr>
            </w:pPr>
          </w:p>
        </w:tc>
        <w:tc>
          <w:tcPr>
            <w:tcW w:w="5515" w:type="dxa"/>
            <w:tcBorders>
              <w:tl2br w:val="nil"/>
              <w:tr2bl w:val="nil"/>
            </w:tcBorders>
            <w:vAlign w:val="center"/>
          </w:tcPr>
          <w:p w14:paraId="41433AB7">
            <w:pPr>
              <w:pStyle w:val="21"/>
              <w:spacing w:before="81" w:after="81"/>
              <w:rPr>
                <w:szCs w:val="24"/>
              </w:rPr>
            </w:pPr>
            <w:r>
              <w:rPr>
                <w:szCs w:val="24"/>
              </w:rPr>
              <w:t>HL7（医院电子信息交换标准）</w:t>
            </w:r>
          </w:p>
        </w:tc>
        <w:tc>
          <w:tcPr>
            <w:tcW w:w="1788" w:type="dxa"/>
            <w:tcBorders>
              <w:tl2br w:val="nil"/>
              <w:tr2bl w:val="nil"/>
            </w:tcBorders>
          </w:tcPr>
          <w:p w14:paraId="7D573A00">
            <w:pPr>
              <w:pStyle w:val="21"/>
              <w:spacing w:before="81" w:after="81"/>
              <w:rPr>
                <w:szCs w:val="24"/>
              </w:rPr>
            </w:pPr>
            <w:r>
              <w:rPr>
                <w:szCs w:val="24"/>
              </w:rPr>
              <w:t>国家卫健委</w:t>
            </w:r>
          </w:p>
        </w:tc>
      </w:tr>
      <w:tr w14:paraId="3B3A5B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219" w:type="dxa"/>
            <w:vMerge w:val="restart"/>
            <w:tcBorders>
              <w:tl2br w:val="nil"/>
              <w:tr2bl w:val="nil"/>
            </w:tcBorders>
            <w:vAlign w:val="center"/>
          </w:tcPr>
          <w:p w14:paraId="10AC543F">
            <w:pPr>
              <w:pStyle w:val="21"/>
              <w:spacing w:before="81" w:after="81"/>
              <w:rPr>
                <w:szCs w:val="24"/>
              </w:rPr>
            </w:pPr>
            <w:r>
              <w:rPr>
                <w:szCs w:val="24"/>
              </w:rPr>
              <w:t>规范类</w:t>
            </w:r>
          </w:p>
          <w:p w14:paraId="63D96F84">
            <w:pPr>
              <w:pStyle w:val="21"/>
              <w:spacing w:before="81" w:after="81"/>
              <w:rPr>
                <w:szCs w:val="24"/>
              </w:rPr>
            </w:pPr>
            <w:r>
              <w:rPr>
                <w:szCs w:val="24"/>
              </w:rPr>
              <w:t>标准</w:t>
            </w:r>
          </w:p>
        </w:tc>
        <w:tc>
          <w:tcPr>
            <w:tcW w:w="5515" w:type="dxa"/>
            <w:tcBorders>
              <w:tl2br w:val="nil"/>
              <w:tr2bl w:val="nil"/>
            </w:tcBorders>
            <w:vAlign w:val="center"/>
          </w:tcPr>
          <w:p w14:paraId="73813528">
            <w:pPr>
              <w:pStyle w:val="21"/>
              <w:spacing w:before="81" w:after="81"/>
              <w:rPr>
                <w:szCs w:val="24"/>
              </w:rPr>
            </w:pPr>
            <w:r>
              <w:rPr>
                <w:szCs w:val="24"/>
              </w:rPr>
              <w:t>医疗健康信息系统集成规范（IHE）</w:t>
            </w:r>
          </w:p>
        </w:tc>
        <w:tc>
          <w:tcPr>
            <w:tcW w:w="1788" w:type="dxa"/>
            <w:tcBorders>
              <w:tl2br w:val="nil"/>
              <w:tr2bl w:val="nil"/>
            </w:tcBorders>
            <w:vAlign w:val="center"/>
          </w:tcPr>
          <w:p w14:paraId="22DE841F">
            <w:pPr>
              <w:pStyle w:val="21"/>
              <w:spacing w:before="81" w:after="81"/>
              <w:rPr>
                <w:szCs w:val="24"/>
              </w:rPr>
            </w:pPr>
            <w:r>
              <w:rPr>
                <w:szCs w:val="24"/>
              </w:rPr>
              <w:t>国际</w:t>
            </w:r>
          </w:p>
        </w:tc>
      </w:tr>
      <w:tr w14:paraId="276B0C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219" w:type="dxa"/>
            <w:vMerge w:val="continue"/>
            <w:tcBorders>
              <w:tl2br w:val="nil"/>
              <w:tr2bl w:val="nil"/>
            </w:tcBorders>
            <w:vAlign w:val="center"/>
          </w:tcPr>
          <w:p w14:paraId="593CC03F">
            <w:pPr>
              <w:pStyle w:val="21"/>
              <w:spacing w:before="81" w:after="81"/>
              <w:ind w:firstLine="480"/>
              <w:rPr>
                <w:szCs w:val="24"/>
              </w:rPr>
            </w:pPr>
          </w:p>
        </w:tc>
        <w:tc>
          <w:tcPr>
            <w:tcW w:w="5515" w:type="dxa"/>
            <w:tcBorders>
              <w:tl2br w:val="nil"/>
              <w:tr2bl w:val="nil"/>
            </w:tcBorders>
            <w:vAlign w:val="center"/>
          </w:tcPr>
          <w:p w14:paraId="23910109">
            <w:pPr>
              <w:pStyle w:val="21"/>
              <w:spacing w:before="81" w:after="81"/>
              <w:rPr>
                <w:szCs w:val="24"/>
              </w:rPr>
            </w:pPr>
            <w:r>
              <w:rPr>
                <w:szCs w:val="24"/>
              </w:rPr>
              <w:t>基于健康档案的区域医疗卫生信息平台建设指南（试行）</w:t>
            </w:r>
          </w:p>
        </w:tc>
        <w:tc>
          <w:tcPr>
            <w:tcW w:w="1788" w:type="dxa"/>
            <w:tcBorders>
              <w:tl2br w:val="nil"/>
              <w:tr2bl w:val="nil"/>
            </w:tcBorders>
          </w:tcPr>
          <w:p w14:paraId="04E85444">
            <w:pPr>
              <w:pStyle w:val="21"/>
              <w:spacing w:before="81" w:after="81"/>
              <w:rPr>
                <w:szCs w:val="24"/>
              </w:rPr>
            </w:pPr>
            <w:r>
              <w:rPr>
                <w:szCs w:val="24"/>
              </w:rPr>
              <w:t>国家卫健委</w:t>
            </w:r>
          </w:p>
        </w:tc>
      </w:tr>
      <w:tr w14:paraId="00679F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219" w:type="dxa"/>
            <w:vMerge w:val="continue"/>
            <w:tcBorders>
              <w:tl2br w:val="nil"/>
              <w:tr2bl w:val="nil"/>
            </w:tcBorders>
            <w:vAlign w:val="center"/>
          </w:tcPr>
          <w:p w14:paraId="77C5C24B">
            <w:pPr>
              <w:pStyle w:val="21"/>
              <w:spacing w:before="81" w:after="81"/>
              <w:ind w:firstLine="480"/>
              <w:rPr>
                <w:szCs w:val="24"/>
              </w:rPr>
            </w:pPr>
          </w:p>
        </w:tc>
        <w:tc>
          <w:tcPr>
            <w:tcW w:w="5515" w:type="dxa"/>
            <w:tcBorders>
              <w:tl2br w:val="nil"/>
              <w:tr2bl w:val="nil"/>
            </w:tcBorders>
            <w:vAlign w:val="center"/>
          </w:tcPr>
          <w:p w14:paraId="3BC296B0">
            <w:pPr>
              <w:pStyle w:val="21"/>
              <w:spacing w:before="81" w:after="81"/>
              <w:rPr>
                <w:szCs w:val="24"/>
              </w:rPr>
            </w:pPr>
            <w:r>
              <w:rPr>
                <w:szCs w:val="24"/>
              </w:rPr>
              <w:t>基于健康档案的区域医疗卫生信息平台建设技术解决方案（试行）</w:t>
            </w:r>
          </w:p>
        </w:tc>
        <w:tc>
          <w:tcPr>
            <w:tcW w:w="1788" w:type="dxa"/>
            <w:tcBorders>
              <w:tl2br w:val="nil"/>
              <w:tr2bl w:val="nil"/>
            </w:tcBorders>
          </w:tcPr>
          <w:p w14:paraId="03EC523F">
            <w:pPr>
              <w:pStyle w:val="21"/>
              <w:spacing w:before="81" w:after="81"/>
              <w:rPr>
                <w:szCs w:val="24"/>
              </w:rPr>
            </w:pPr>
            <w:r>
              <w:rPr>
                <w:szCs w:val="24"/>
              </w:rPr>
              <w:t>国家卫健委</w:t>
            </w:r>
          </w:p>
        </w:tc>
      </w:tr>
      <w:tr w14:paraId="2F1420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219" w:type="dxa"/>
            <w:vMerge w:val="continue"/>
            <w:tcBorders>
              <w:tl2br w:val="nil"/>
              <w:tr2bl w:val="nil"/>
            </w:tcBorders>
            <w:vAlign w:val="center"/>
          </w:tcPr>
          <w:p w14:paraId="6FF53E14">
            <w:pPr>
              <w:pStyle w:val="21"/>
              <w:spacing w:before="81" w:after="81"/>
              <w:ind w:firstLine="480"/>
              <w:rPr>
                <w:szCs w:val="24"/>
              </w:rPr>
            </w:pPr>
          </w:p>
        </w:tc>
        <w:tc>
          <w:tcPr>
            <w:tcW w:w="5515" w:type="dxa"/>
            <w:tcBorders>
              <w:tl2br w:val="nil"/>
              <w:tr2bl w:val="nil"/>
            </w:tcBorders>
            <w:vAlign w:val="center"/>
          </w:tcPr>
          <w:p w14:paraId="025FC700">
            <w:pPr>
              <w:pStyle w:val="21"/>
              <w:spacing w:before="81" w:after="81"/>
              <w:rPr>
                <w:szCs w:val="24"/>
              </w:rPr>
            </w:pPr>
            <w:r>
              <w:rPr>
                <w:szCs w:val="24"/>
              </w:rPr>
              <w:t>区域卫生信息互联互通标准化成熟度测评方案</w:t>
            </w:r>
          </w:p>
        </w:tc>
        <w:tc>
          <w:tcPr>
            <w:tcW w:w="1788" w:type="dxa"/>
            <w:tcBorders>
              <w:tl2br w:val="nil"/>
              <w:tr2bl w:val="nil"/>
            </w:tcBorders>
          </w:tcPr>
          <w:p w14:paraId="3E1CF49A">
            <w:pPr>
              <w:pStyle w:val="21"/>
              <w:spacing w:before="81" w:after="81"/>
              <w:rPr>
                <w:szCs w:val="24"/>
              </w:rPr>
            </w:pPr>
            <w:r>
              <w:rPr>
                <w:szCs w:val="24"/>
              </w:rPr>
              <w:t>国家卫健委</w:t>
            </w:r>
          </w:p>
        </w:tc>
      </w:tr>
      <w:tr w14:paraId="626228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219" w:type="dxa"/>
            <w:vMerge w:val="continue"/>
            <w:tcBorders>
              <w:tl2br w:val="nil"/>
              <w:tr2bl w:val="nil"/>
            </w:tcBorders>
            <w:vAlign w:val="center"/>
          </w:tcPr>
          <w:p w14:paraId="286A6508">
            <w:pPr>
              <w:pStyle w:val="21"/>
              <w:spacing w:before="81" w:after="81"/>
              <w:ind w:firstLine="480"/>
              <w:rPr>
                <w:szCs w:val="24"/>
              </w:rPr>
            </w:pPr>
          </w:p>
        </w:tc>
        <w:tc>
          <w:tcPr>
            <w:tcW w:w="5515" w:type="dxa"/>
            <w:tcBorders>
              <w:tl2br w:val="nil"/>
              <w:tr2bl w:val="nil"/>
            </w:tcBorders>
            <w:vAlign w:val="center"/>
          </w:tcPr>
          <w:p w14:paraId="70C6F617">
            <w:pPr>
              <w:pStyle w:val="21"/>
              <w:spacing w:before="81" w:after="81"/>
              <w:rPr>
                <w:szCs w:val="24"/>
              </w:rPr>
            </w:pPr>
            <w:r>
              <w:rPr>
                <w:szCs w:val="24"/>
              </w:rPr>
              <w:t>区域卫生信息互联互通标准化成熟度测评指标体系</w:t>
            </w:r>
          </w:p>
        </w:tc>
        <w:tc>
          <w:tcPr>
            <w:tcW w:w="1788" w:type="dxa"/>
            <w:tcBorders>
              <w:tl2br w:val="nil"/>
              <w:tr2bl w:val="nil"/>
            </w:tcBorders>
          </w:tcPr>
          <w:p w14:paraId="38F20853">
            <w:pPr>
              <w:pStyle w:val="21"/>
              <w:spacing w:before="81" w:after="81"/>
              <w:rPr>
                <w:szCs w:val="24"/>
              </w:rPr>
            </w:pPr>
            <w:r>
              <w:rPr>
                <w:szCs w:val="24"/>
              </w:rPr>
              <w:t>国家卫健委</w:t>
            </w:r>
          </w:p>
        </w:tc>
      </w:tr>
      <w:tr w14:paraId="6B33A8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219" w:type="dxa"/>
            <w:vMerge w:val="continue"/>
            <w:tcBorders>
              <w:tl2br w:val="nil"/>
              <w:tr2bl w:val="nil"/>
            </w:tcBorders>
            <w:vAlign w:val="center"/>
          </w:tcPr>
          <w:p w14:paraId="3DE85235">
            <w:pPr>
              <w:pStyle w:val="21"/>
              <w:spacing w:before="81" w:after="81"/>
              <w:ind w:firstLine="480"/>
              <w:rPr>
                <w:szCs w:val="24"/>
              </w:rPr>
            </w:pPr>
          </w:p>
        </w:tc>
        <w:tc>
          <w:tcPr>
            <w:tcW w:w="5515" w:type="dxa"/>
            <w:tcBorders>
              <w:tl2br w:val="nil"/>
              <w:tr2bl w:val="nil"/>
            </w:tcBorders>
            <w:vAlign w:val="center"/>
          </w:tcPr>
          <w:p w14:paraId="17C83BFD">
            <w:pPr>
              <w:pStyle w:val="21"/>
              <w:spacing w:before="81" w:after="81"/>
              <w:rPr>
                <w:szCs w:val="24"/>
              </w:rPr>
            </w:pPr>
            <w:r>
              <w:rPr>
                <w:szCs w:val="24"/>
              </w:rPr>
              <w:t>卫生系统电子认证服务规范（试行）</w:t>
            </w:r>
          </w:p>
        </w:tc>
        <w:tc>
          <w:tcPr>
            <w:tcW w:w="1788" w:type="dxa"/>
            <w:tcBorders>
              <w:tl2br w:val="nil"/>
              <w:tr2bl w:val="nil"/>
            </w:tcBorders>
          </w:tcPr>
          <w:p w14:paraId="6154F0FD">
            <w:pPr>
              <w:pStyle w:val="21"/>
              <w:spacing w:before="81" w:after="81"/>
              <w:rPr>
                <w:szCs w:val="24"/>
              </w:rPr>
            </w:pPr>
            <w:r>
              <w:rPr>
                <w:szCs w:val="24"/>
              </w:rPr>
              <w:t>国家卫健委</w:t>
            </w:r>
          </w:p>
        </w:tc>
      </w:tr>
      <w:tr w14:paraId="731D6A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219" w:type="dxa"/>
            <w:vMerge w:val="continue"/>
            <w:tcBorders>
              <w:tl2br w:val="nil"/>
              <w:tr2bl w:val="nil"/>
            </w:tcBorders>
            <w:vAlign w:val="center"/>
          </w:tcPr>
          <w:p w14:paraId="1BB346ED">
            <w:pPr>
              <w:pStyle w:val="21"/>
              <w:spacing w:before="81" w:after="81"/>
              <w:ind w:firstLine="480"/>
              <w:rPr>
                <w:szCs w:val="24"/>
              </w:rPr>
            </w:pPr>
          </w:p>
        </w:tc>
        <w:tc>
          <w:tcPr>
            <w:tcW w:w="5515" w:type="dxa"/>
            <w:tcBorders>
              <w:tl2br w:val="nil"/>
              <w:tr2bl w:val="nil"/>
            </w:tcBorders>
            <w:vAlign w:val="center"/>
          </w:tcPr>
          <w:p w14:paraId="15277911">
            <w:pPr>
              <w:pStyle w:val="21"/>
              <w:spacing w:before="81" w:after="81"/>
              <w:rPr>
                <w:szCs w:val="24"/>
              </w:rPr>
            </w:pPr>
            <w:r>
              <w:rPr>
                <w:szCs w:val="24"/>
              </w:rPr>
              <w:t>卫生系统数字证书应用集成规范（试行）</w:t>
            </w:r>
          </w:p>
        </w:tc>
        <w:tc>
          <w:tcPr>
            <w:tcW w:w="1788" w:type="dxa"/>
            <w:tcBorders>
              <w:tl2br w:val="nil"/>
              <w:tr2bl w:val="nil"/>
            </w:tcBorders>
          </w:tcPr>
          <w:p w14:paraId="6FA56E3E">
            <w:pPr>
              <w:pStyle w:val="21"/>
              <w:spacing w:before="81" w:after="81"/>
              <w:rPr>
                <w:szCs w:val="24"/>
              </w:rPr>
            </w:pPr>
            <w:r>
              <w:rPr>
                <w:szCs w:val="24"/>
              </w:rPr>
              <w:t>国家卫健委</w:t>
            </w:r>
          </w:p>
        </w:tc>
      </w:tr>
      <w:tr w14:paraId="02D06A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219" w:type="dxa"/>
            <w:vMerge w:val="continue"/>
            <w:tcBorders>
              <w:tl2br w:val="nil"/>
              <w:tr2bl w:val="nil"/>
            </w:tcBorders>
            <w:vAlign w:val="center"/>
          </w:tcPr>
          <w:p w14:paraId="13C9281B">
            <w:pPr>
              <w:pStyle w:val="21"/>
              <w:spacing w:before="81" w:after="81"/>
              <w:ind w:firstLine="480"/>
              <w:rPr>
                <w:szCs w:val="24"/>
              </w:rPr>
            </w:pPr>
          </w:p>
        </w:tc>
        <w:tc>
          <w:tcPr>
            <w:tcW w:w="5515" w:type="dxa"/>
            <w:tcBorders>
              <w:tl2br w:val="nil"/>
              <w:tr2bl w:val="nil"/>
            </w:tcBorders>
            <w:vAlign w:val="center"/>
          </w:tcPr>
          <w:p w14:paraId="558A6018">
            <w:pPr>
              <w:pStyle w:val="21"/>
              <w:spacing w:before="81" w:after="81"/>
              <w:rPr>
                <w:szCs w:val="24"/>
              </w:rPr>
            </w:pPr>
            <w:r>
              <w:rPr>
                <w:szCs w:val="24"/>
              </w:rPr>
              <w:t>卫生系统数字证书格式规范（试行）</w:t>
            </w:r>
          </w:p>
        </w:tc>
        <w:tc>
          <w:tcPr>
            <w:tcW w:w="1788" w:type="dxa"/>
            <w:tcBorders>
              <w:tl2br w:val="nil"/>
              <w:tr2bl w:val="nil"/>
            </w:tcBorders>
          </w:tcPr>
          <w:p w14:paraId="7CB6B5AE">
            <w:pPr>
              <w:pStyle w:val="21"/>
              <w:spacing w:before="81" w:after="81"/>
              <w:rPr>
                <w:szCs w:val="24"/>
              </w:rPr>
            </w:pPr>
            <w:r>
              <w:rPr>
                <w:szCs w:val="24"/>
              </w:rPr>
              <w:t>国家卫健委</w:t>
            </w:r>
          </w:p>
        </w:tc>
      </w:tr>
      <w:tr w14:paraId="0F4B34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219" w:type="dxa"/>
            <w:vMerge w:val="continue"/>
            <w:tcBorders>
              <w:tl2br w:val="nil"/>
              <w:tr2bl w:val="nil"/>
            </w:tcBorders>
            <w:vAlign w:val="center"/>
          </w:tcPr>
          <w:p w14:paraId="7D4E2F59">
            <w:pPr>
              <w:pStyle w:val="21"/>
              <w:spacing w:before="81" w:after="81"/>
              <w:ind w:firstLine="480"/>
              <w:rPr>
                <w:szCs w:val="24"/>
              </w:rPr>
            </w:pPr>
          </w:p>
        </w:tc>
        <w:tc>
          <w:tcPr>
            <w:tcW w:w="5515" w:type="dxa"/>
            <w:tcBorders>
              <w:tl2br w:val="nil"/>
              <w:tr2bl w:val="nil"/>
            </w:tcBorders>
            <w:vAlign w:val="center"/>
          </w:tcPr>
          <w:p w14:paraId="51719F42">
            <w:pPr>
              <w:pStyle w:val="21"/>
              <w:spacing w:before="81" w:after="81"/>
              <w:rPr>
                <w:szCs w:val="24"/>
              </w:rPr>
            </w:pPr>
            <w:r>
              <w:rPr>
                <w:szCs w:val="24"/>
              </w:rPr>
              <w:t>卫生系统数字证书介质技术规范</w:t>
            </w:r>
          </w:p>
        </w:tc>
        <w:tc>
          <w:tcPr>
            <w:tcW w:w="1788" w:type="dxa"/>
            <w:tcBorders>
              <w:tl2br w:val="nil"/>
              <w:tr2bl w:val="nil"/>
            </w:tcBorders>
          </w:tcPr>
          <w:p w14:paraId="7B2B635F">
            <w:pPr>
              <w:pStyle w:val="21"/>
              <w:spacing w:before="81" w:after="81"/>
              <w:rPr>
                <w:szCs w:val="24"/>
              </w:rPr>
            </w:pPr>
            <w:r>
              <w:rPr>
                <w:szCs w:val="24"/>
              </w:rPr>
              <w:t>国家卫健委</w:t>
            </w:r>
          </w:p>
        </w:tc>
      </w:tr>
      <w:tr w14:paraId="458D17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219" w:type="dxa"/>
            <w:vMerge w:val="continue"/>
            <w:tcBorders>
              <w:tl2br w:val="nil"/>
              <w:tr2bl w:val="nil"/>
            </w:tcBorders>
            <w:vAlign w:val="center"/>
          </w:tcPr>
          <w:p w14:paraId="076B4E46">
            <w:pPr>
              <w:pStyle w:val="21"/>
              <w:spacing w:before="81" w:after="81"/>
              <w:ind w:firstLine="480"/>
              <w:rPr>
                <w:szCs w:val="24"/>
              </w:rPr>
            </w:pPr>
          </w:p>
        </w:tc>
        <w:tc>
          <w:tcPr>
            <w:tcW w:w="5515" w:type="dxa"/>
            <w:tcBorders>
              <w:tl2br w:val="nil"/>
              <w:tr2bl w:val="nil"/>
            </w:tcBorders>
            <w:vAlign w:val="center"/>
          </w:tcPr>
          <w:p w14:paraId="65A0B8DD">
            <w:pPr>
              <w:pStyle w:val="21"/>
              <w:spacing w:before="81" w:after="81"/>
              <w:rPr>
                <w:szCs w:val="24"/>
              </w:rPr>
            </w:pPr>
            <w:r>
              <w:rPr>
                <w:szCs w:val="24"/>
              </w:rPr>
              <w:t>卫生系统数字证书服务管理平台接入规范（试行）</w:t>
            </w:r>
          </w:p>
        </w:tc>
        <w:tc>
          <w:tcPr>
            <w:tcW w:w="1788" w:type="dxa"/>
            <w:tcBorders>
              <w:tl2br w:val="nil"/>
              <w:tr2bl w:val="nil"/>
            </w:tcBorders>
          </w:tcPr>
          <w:p w14:paraId="372798DD">
            <w:pPr>
              <w:pStyle w:val="21"/>
              <w:spacing w:before="81" w:after="81"/>
              <w:rPr>
                <w:szCs w:val="24"/>
              </w:rPr>
            </w:pPr>
            <w:r>
              <w:rPr>
                <w:szCs w:val="24"/>
              </w:rPr>
              <w:t>国家卫健委</w:t>
            </w:r>
          </w:p>
        </w:tc>
      </w:tr>
      <w:tr w14:paraId="608F02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219" w:type="dxa"/>
            <w:vMerge w:val="continue"/>
            <w:tcBorders>
              <w:tl2br w:val="nil"/>
              <w:tr2bl w:val="nil"/>
            </w:tcBorders>
            <w:vAlign w:val="center"/>
          </w:tcPr>
          <w:p w14:paraId="6CE31011">
            <w:pPr>
              <w:pStyle w:val="21"/>
              <w:spacing w:before="81" w:after="81"/>
              <w:ind w:firstLine="480"/>
              <w:rPr>
                <w:szCs w:val="24"/>
              </w:rPr>
            </w:pPr>
          </w:p>
        </w:tc>
        <w:tc>
          <w:tcPr>
            <w:tcW w:w="5515" w:type="dxa"/>
            <w:tcBorders>
              <w:tl2br w:val="nil"/>
              <w:tr2bl w:val="nil"/>
            </w:tcBorders>
            <w:vAlign w:val="center"/>
          </w:tcPr>
          <w:p w14:paraId="55BB4F15">
            <w:pPr>
              <w:pStyle w:val="21"/>
              <w:spacing w:before="81" w:after="81"/>
              <w:rPr>
                <w:szCs w:val="24"/>
              </w:rPr>
            </w:pPr>
            <w:r>
              <w:rPr>
                <w:rFonts w:hint="eastAsia"/>
                <w:szCs w:val="24"/>
              </w:rPr>
              <w:t>市</w:t>
            </w:r>
            <w:r>
              <w:rPr>
                <w:szCs w:val="24"/>
              </w:rPr>
              <w:t>域医共体信息化建设指南（征求意见稿）</w:t>
            </w:r>
          </w:p>
        </w:tc>
        <w:tc>
          <w:tcPr>
            <w:tcW w:w="1788" w:type="dxa"/>
            <w:tcBorders>
              <w:tl2br w:val="nil"/>
              <w:tr2bl w:val="nil"/>
            </w:tcBorders>
            <w:vAlign w:val="center"/>
          </w:tcPr>
          <w:p w14:paraId="01E53141">
            <w:pPr>
              <w:pStyle w:val="21"/>
              <w:spacing w:before="81" w:after="81"/>
              <w:rPr>
                <w:szCs w:val="24"/>
              </w:rPr>
            </w:pPr>
            <w:r>
              <w:rPr>
                <w:szCs w:val="24"/>
              </w:rPr>
              <w:t>国家卫健委</w:t>
            </w:r>
          </w:p>
        </w:tc>
      </w:tr>
    </w:tbl>
    <w:p w14:paraId="4E2AB94B">
      <w:pPr>
        <w:pStyle w:val="6"/>
        <w:numPr>
          <w:ilvl w:val="3"/>
          <w:numId w:val="5"/>
        </w:numPr>
      </w:pPr>
      <w:r>
        <w:rPr>
          <w:rFonts w:hint="eastAsia"/>
        </w:rPr>
        <w:t>数据采集与对接</w:t>
      </w:r>
    </w:p>
    <w:p w14:paraId="362BB04F">
      <w:pPr>
        <w:ind w:firstLine="640"/>
      </w:pPr>
      <w:r>
        <w:rPr>
          <w:rFonts w:hint="eastAsia"/>
        </w:rPr>
        <w:t>数据采集主要通过各互联互通的应用系统进行自动化采集，并以电子化填报系统作为辅助。通过了解原始数据的结构，制定相应的采集策略，以并发的方式多任务同时采集多文件的数据，保证数据采集的高效，并且，在数据的采集过程中通过ETL工具的监控来调度，生成监控报告，如出现问题支持补采及恢复等。在整合数据的同时，ETL工具同时可以校验和清洗数据，通过同时对多个数据源作关联，消除各系统数据的不一致性，保证正确的结果。另外，ETL工具在数据采集接口方面支持多样的数据接口，保证的系统接口的开放性。ETL工具源数据和目的数据能支持目前主流的数据库系统，包括Oracle、SQL Server、DB2；支持非关系型数据源如各种文件格式中数据、Xml、MQ Series， Notes等；支持通用的数据库接口（如ODBC/JDBC），还支持数据库原厂商的专用接口；支持异构数据库关联。</w:t>
      </w:r>
    </w:p>
    <w:p w14:paraId="1576DFF6">
      <w:pPr>
        <w:ind w:firstLine="640"/>
      </w:pPr>
      <w:r>
        <w:rPr>
          <w:rFonts w:hint="eastAsia"/>
        </w:rPr>
        <w:t>在本项目中，综合考量相关医疗机构的信息化建设现状，支持通过阳江市</w:t>
      </w:r>
      <w:r>
        <w:t>人民医院集成平台标准接口</w:t>
      </w:r>
      <w:r>
        <w:rPr>
          <w:rFonts w:hint="eastAsia"/>
        </w:rPr>
        <w:t>、</w:t>
      </w:r>
      <w:r>
        <w:t>阳春中医院集成平台标准接口</w:t>
      </w:r>
      <w:r>
        <w:rPr>
          <w:rFonts w:hint="eastAsia"/>
        </w:rPr>
        <w:t>开展数据采集。另外，</w:t>
      </w:r>
      <w:r>
        <w:t>卫生院</w:t>
      </w:r>
      <w:r>
        <w:rPr>
          <w:rFonts w:hint="eastAsia"/>
        </w:rPr>
        <w:t>及</w:t>
      </w:r>
      <w:r>
        <w:t>基卫系统</w:t>
      </w:r>
      <w:r>
        <w:rPr>
          <w:rFonts w:hint="eastAsia"/>
        </w:rPr>
        <w:t>可</w:t>
      </w:r>
      <w:r>
        <w:t>通过视图对接</w:t>
      </w:r>
      <w:r>
        <w:rPr>
          <w:rFonts w:hint="eastAsia"/>
        </w:rPr>
        <w:t>。</w:t>
      </w:r>
    </w:p>
    <w:p w14:paraId="3F6566F4">
      <w:pPr>
        <w:ind w:firstLine="640"/>
      </w:pPr>
      <w:r>
        <w:rPr>
          <w:rFonts w:hint="eastAsia"/>
        </w:rPr>
        <w:t>根据福民健康管理平台的数据安全和接入规范，本项目的数据中心采用</w:t>
      </w:r>
      <w:r>
        <w:t>T+1</w:t>
      </w:r>
      <w:r>
        <w:rPr>
          <w:rFonts w:hint="eastAsia"/>
        </w:rPr>
        <w:t>的采集频率进行采集落库到数据中心中，对于可以直接访问的数据服务，平台支持实时调用获取使用，避免不必要的数据二次存储。</w:t>
      </w:r>
    </w:p>
    <w:p w14:paraId="56E273C6">
      <w:pPr>
        <w:pStyle w:val="6"/>
        <w:numPr>
          <w:ilvl w:val="3"/>
          <w:numId w:val="5"/>
        </w:numPr>
      </w:pPr>
      <w:r>
        <w:rPr>
          <w:rFonts w:hint="eastAsia"/>
        </w:rPr>
        <w:t>数据质量系统</w:t>
      </w:r>
    </w:p>
    <w:p w14:paraId="37B58D5A">
      <w:pPr>
        <w:ind w:firstLine="640"/>
      </w:pPr>
      <w:r>
        <w:rPr>
          <w:rFonts w:hint="eastAsia"/>
        </w:rPr>
        <w:t>根据不同的条件查询已有的规则，配置调度器，可以让校验任务加入调度定时执行，用于配置校验任务中将要执行的校验规则、校验任务的打分规则，用于展示校验结果的报告、详细信息；支持配置数据中心数据源，用以执行校验规则，配置数据模型的归属分类、字段信息，配置字段的外键关系、字典映射；支持配置检验系统分类，用于后面给数据模型指定系统分类，用于建立规则模板，之后在数据校验项定义中通过选择模板配置的可以生成用于校验的查询语句。</w:t>
      </w:r>
    </w:p>
    <w:p w14:paraId="53A2B170">
      <w:pPr>
        <w:pStyle w:val="3"/>
        <w:numPr>
          <w:ilvl w:val="0"/>
          <w:numId w:val="4"/>
        </w:numPr>
        <w:ind w:firstLine="883"/>
        <w:jc w:val="center"/>
      </w:pPr>
      <w:r>
        <w:rPr>
          <w:rFonts w:hint="eastAsia"/>
        </w:rPr>
        <w:t>双向转诊</w:t>
      </w:r>
    </w:p>
    <w:p w14:paraId="78592F41">
      <w:pPr>
        <w:ind w:firstLine="640"/>
        <w:rPr>
          <w:rFonts w:hint="eastAsia" w:ascii="等线" w:hAnsi="等线" w:cs="等线"/>
        </w:rPr>
      </w:pPr>
      <w:r>
        <w:rPr>
          <w:rFonts w:hint="eastAsia"/>
        </w:rPr>
        <w:t>分级诊疗管理系统</w:t>
      </w:r>
      <w:r>
        <w:rPr>
          <w:rFonts w:hint="eastAsia" w:ascii="等线" w:hAnsi="等线" w:cs="等线"/>
        </w:rPr>
        <w:t>以政策优惠为保障，以信息化为支撑，通过制度约束，实现基层与医院的信息双明共享和双向转检转诊。系统建设突破传统的双向转诊系统具备的功能，不再只是简单地将病人转诊，而是将病人转诊前后的就诊记录、检验检查、用药记录、电子病历、治疗方案同时通过系统转诊，实现上下级医疗机构之间信息资源、医疗资源共享，让信息多跑路，群众少跑腿，</w:t>
      </w:r>
      <w:r>
        <w:rPr>
          <w:rFonts w:hint="eastAsia"/>
        </w:rPr>
        <w:t>进一步加强医共体之间形成有序的、可靠的、可跟踪的、可溯源的双向转诊制度</w:t>
      </w:r>
      <w:r>
        <w:rPr>
          <w:rFonts w:hint="eastAsia" w:ascii="等线" w:hAnsi="等线" w:cs="等线"/>
        </w:rPr>
        <w:t>。系统具有的主要功能如下：</w:t>
      </w:r>
    </w:p>
    <w:p w14:paraId="1A9FA929">
      <w:pPr>
        <w:pStyle w:val="4"/>
        <w:numPr>
          <w:ilvl w:val="1"/>
          <w:numId w:val="6"/>
        </w:numPr>
      </w:pPr>
      <w:r>
        <w:rPr>
          <w:rFonts w:hint="eastAsia"/>
          <w:szCs w:val="22"/>
        </w:rPr>
        <w:t xml:space="preserve"> 病种</w:t>
      </w:r>
      <w:r>
        <w:rPr>
          <w:rFonts w:hint="eastAsia"/>
        </w:rPr>
        <w:t>下转</w:t>
      </w:r>
    </w:p>
    <w:p w14:paraId="039C3683">
      <w:pPr>
        <w:ind w:firstLine="640"/>
      </w:pPr>
      <w:r>
        <w:rPr>
          <w:rFonts w:hint="eastAsia"/>
        </w:rPr>
        <w:t>将区域内不同级别的医疗机构负责的疾病病种范围梳理出来，每个机构所属的医生以及其擅长的病种通过系统展示，为各级医生发起转准申请提供精准指引。促进落实医共体内各成员单位功能定位和急慢分治要求，引导病种逐级下沉，逐步实现“小病不出村、常见病不出镇、大病不出区”的目标。梳理内容包括：</w:t>
      </w:r>
    </w:p>
    <w:p w14:paraId="30FF50A5">
      <w:pPr>
        <w:numPr>
          <w:ilvl w:val="0"/>
          <w:numId w:val="7"/>
        </w:numPr>
        <w:ind w:firstLine="640"/>
      </w:pPr>
      <w:r>
        <w:rPr>
          <w:rFonts w:hint="eastAsia"/>
        </w:rPr>
        <w:t>确定村所负责治疗的疾病病种范围</w:t>
      </w:r>
    </w:p>
    <w:p w14:paraId="2EC8C3ED">
      <w:pPr>
        <w:numPr>
          <w:ilvl w:val="0"/>
          <w:numId w:val="7"/>
        </w:numPr>
        <w:ind w:firstLine="640"/>
      </w:pPr>
      <w:r>
        <w:rPr>
          <w:rFonts w:hint="eastAsia"/>
        </w:rPr>
        <w:t>确定乡镇卫生院负责治疗的疾病病种范围</w:t>
      </w:r>
    </w:p>
    <w:p w14:paraId="5744376F">
      <w:pPr>
        <w:numPr>
          <w:ilvl w:val="0"/>
          <w:numId w:val="7"/>
        </w:numPr>
        <w:ind w:firstLine="640"/>
      </w:pPr>
      <w:r>
        <w:rPr>
          <w:rFonts w:hint="eastAsia"/>
        </w:rPr>
        <w:t>确定市级医院负责治疗的疾病病种范围</w:t>
      </w:r>
    </w:p>
    <w:p w14:paraId="1162C487">
      <w:pPr>
        <w:numPr>
          <w:ilvl w:val="0"/>
          <w:numId w:val="7"/>
        </w:numPr>
        <w:ind w:firstLine="640"/>
      </w:pPr>
      <w:r>
        <w:rPr>
          <w:rFonts w:hint="eastAsia"/>
        </w:rPr>
        <w:t>确定市级医院自己不能治疗，但是经过请上级医院医生可以治疗的疾病病种范围</w:t>
      </w:r>
    </w:p>
    <w:p w14:paraId="36644E62">
      <w:pPr>
        <w:numPr>
          <w:ilvl w:val="0"/>
          <w:numId w:val="7"/>
        </w:numPr>
        <w:ind w:firstLine="640"/>
      </w:pPr>
      <w:r>
        <w:rPr>
          <w:rFonts w:hint="eastAsia"/>
        </w:rPr>
        <w:t>确定市级医院自己不能治疗，且需要市外转诊的疾病病种的范围</w:t>
      </w:r>
    </w:p>
    <w:p w14:paraId="77A26516">
      <w:pPr>
        <w:pStyle w:val="4"/>
        <w:numPr>
          <w:ilvl w:val="1"/>
          <w:numId w:val="6"/>
        </w:numPr>
      </w:pPr>
      <w:r>
        <w:rPr>
          <w:rFonts w:hint="eastAsia"/>
        </w:rPr>
        <w:t xml:space="preserve"> 转诊申请</w:t>
      </w:r>
    </w:p>
    <w:p w14:paraId="22145C5D">
      <w:pPr>
        <w:ind w:firstLine="640"/>
        <w:rPr>
          <w:rFonts w:hint="eastAsia" w:ascii="等线" w:hAnsi="等线" w:cs="等线"/>
        </w:rPr>
      </w:pPr>
      <w:r>
        <w:rPr>
          <w:rFonts w:hint="eastAsia" w:ascii="等线" w:hAnsi="等线" w:cs="等线"/>
        </w:rPr>
        <w:t>各级医疗机构的医务人员为病人创建转诊申请单，转诊单自动关联患者病历及各项检查检验记录，对于危及患者应有相应标识，可为其优先处理。</w:t>
      </w:r>
    </w:p>
    <w:p w14:paraId="31D36A45">
      <w:pPr>
        <w:pStyle w:val="4"/>
        <w:numPr>
          <w:ilvl w:val="1"/>
          <w:numId w:val="6"/>
        </w:numPr>
      </w:pPr>
      <w:r>
        <w:rPr>
          <w:rFonts w:hint="eastAsia"/>
        </w:rPr>
        <w:t>转诊审批</w:t>
      </w:r>
    </w:p>
    <w:p w14:paraId="63E74110">
      <w:pPr>
        <w:ind w:firstLine="640"/>
        <w:rPr>
          <w:rFonts w:hint="eastAsia" w:ascii="等线" w:hAnsi="等线" w:cs="等线"/>
        </w:rPr>
      </w:pPr>
      <w:r>
        <w:rPr>
          <w:rFonts w:hint="eastAsia" w:ascii="等线" w:hAnsi="等线" w:cs="等线"/>
        </w:rPr>
        <w:t>转出医院需要对转诊申请单进行审核及批准，减少不符合转出的病人；接诊医院对转诊患者进行审核，并结合本医疗机构相关服务能力及医疗资源状况，最终给转诊申请者回复确定是否接收患者，并且予以及时答复。</w:t>
      </w:r>
    </w:p>
    <w:p w14:paraId="7AA3C1CE">
      <w:pPr>
        <w:pStyle w:val="4"/>
        <w:numPr>
          <w:ilvl w:val="1"/>
          <w:numId w:val="6"/>
        </w:numPr>
      </w:pPr>
      <w:r>
        <w:rPr>
          <w:rFonts w:hint="eastAsia"/>
        </w:rPr>
        <w:t>转诊分配</w:t>
      </w:r>
    </w:p>
    <w:p w14:paraId="1C507677">
      <w:pPr>
        <w:ind w:firstLine="640"/>
        <w:rPr>
          <w:rFonts w:hint="eastAsia" w:ascii="等线" w:hAnsi="等线" w:cs="等线"/>
        </w:rPr>
      </w:pPr>
      <w:r>
        <w:rPr>
          <w:rFonts w:hint="eastAsia" w:ascii="等线" w:hAnsi="等线" w:cs="等线"/>
        </w:rPr>
        <w:t>接收机构联络员在系统可查看其他医疗机构转诊到本机构的病人列表，联络员根据病人病情选择相应接收医生对病人进行分配。</w:t>
      </w:r>
    </w:p>
    <w:p w14:paraId="10AFDED6">
      <w:pPr>
        <w:pStyle w:val="4"/>
        <w:numPr>
          <w:ilvl w:val="1"/>
          <w:numId w:val="6"/>
        </w:numPr>
      </w:pPr>
      <w:r>
        <w:rPr>
          <w:rFonts w:hint="eastAsia"/>
        </w:rPr>
        <w:t>转诊随访</w:t>
      </w:r>
    </w:p>
    <w:p w14:paraId="7F8F21C6">
      <w:pPr>
        <w:widowControl/>
        <w:ind w:firstLine="640"/>
      </w:pPr>
      <w:r>
        <w:rPr>
          <w:rFonts w:hint="eastAsia" w:ascii="等线" w:hAnsi="等线" w:cs="等线"/>
        </w:rPr>
        <w:t>对于急性病、危重症恢复期病人，慢性病后期需要长期康复治疗的病人，系统支持上级医院在病人出院的时候为病人制定随访计划，与治疗病历一并传输给病人居住地社区卫生服务中心，由家庭医生上门随访，原上级收治医院对基层后续治疗情况进行审阅并指导；对于需要长期康复治疗的病人，一旦发现病人转归异常时，及时安排医生通知病人到上级医院就诊，提供诊疗—康复—长期护理的连续性服务模式。</w:t>
      </w:r>
    </w:p>
    <w:p w14:paraId="5EA00EAA">
      <w:pPr>
        <w:pStyle w:val="4"/>
        <w:numPr>
          <w:ilvl w:val="1"/>
          <w:numId w:val="6"/>
        </w:numPr>
      </w:pPr>
      <w:r>
        <w:rPr>
          <w:rFonts w:hint="eastAsia"/>
        </w:rPr>
        <w:t>信息交互</w:t>
      </w:r>
    </w:p>
    <w:p w14:paraId="7BA16DF8">
      <w:pPr>
        <w:ind w:firstLine="640"/>
      </w:pPr>
      <w:r>
        <w:rPr>
          <w:rFonts w:hint="eastAsia"/>
        </w:rPr>
        <w:t>分级诊疗（多点预约、多点诊疗）管理系统不应该是一个孤立的信息系统，其与区域内基层医疗卫生机构管理信息系统、医院信息管理系统等业务系统、医保结算系统等信息系统有着密切联系，若无法将这些相关信息系统有效整合，又会出现多个信息孤岛，不能充分发挥分级诊疗系统的基本作用，更增加了区域全民健康信息化的难度。</w:t>
      </w:r>
    </w:p>
    <w:p w14:paraId="206B8017">
      <w:pPr>
        <w:ind w:firstLine="640"/>
      </w:pPr>
      <w:r>
        <w:rPr>
          <w:rFonts w:hint="eastAsia"/>
        </w:rPr>
        <w:t>本系统通过标准化数据接口，与区域平台整合，HIS系统通过基于区域平台的业务协同平台调用转诊系统，医生工作站可以直接使用双向转诊系统。下级医院在填写转诊申请单模块中能够访问并打开预约挂号平台的服务，预约区域内任一医院的号源，接诊单模块中需能够访问并打开区域卫生信息平台的健康档案浏览器，下转申请单中，能调用公共卫生服务系统的社区出院随访患者清单服务。</w:t>
      </w:r>
    </w:p>
    <w:p w14:paraId="56836D93">
      <w:pPr>
        <w:pStyle w:val="4"/>
        <w:numPr>
          <w:ilvl w:val="1"/>
          <w:numId w:val="6"/>
        </w:numPr>
      </w:pPr>
      <w:r>
        <w:rPr>
          <w:rFonts w:hint="eastAsia"/>
        </w:rPr>
        <w:t>数据管理</w:t>
      </w:r>
    </w:p>
    <w:p w14:paraId="260003D8">
      <w:pPr>
        <w:ind w:firstLine="640"/>
      </w:pPr>
      <w:r>
        <w:rPr>
          <w:rFonts w:hint="eastAsia"/>
        </w:rPr>
        <w:t>系统对于未存档的数据可增、删、改，并可进行条件组合查询；对已存档的数据一般不允许增、删、改操作，但可查询。特殊情况下 （需要获得较高权限）可做增、删、改操作，但需要自动记录痕迹，生成日志。</w:t>
      </w:r>
    </w:p>
    <w:p w14:paraId="1713AAFA">
      <w:pPr>
        <w:pStyle w:val="4"/>
        <w:numPr>
          <w:ilvl w:val="1"/>
          <w:numId w:val="6"/>
        </w:numPr>
      </w:pPr>
      <w:r>
        <w:rPr>
          <w:rFonts w:hint="eastAsia"/>
        </w:rPr>
        <w:t>工作提醒</w:t>
      </w:r>
    </w:p>
    <w:p w14:paraId="0FEBD3A0">
      <w:pPr>
        <w:ind w:firstLine="640"/>
      </w:pPr>
      <w:r>
        <w:rPr>
          <w:rFonts w:hint="eastAsia"/>
        </w:rPr>
        <w:t>系统对所有角色都具有待处理工作提醒功能。待处理工作（事件）按时间先后顺序，每个展现在主界面，待处理工作（事件）有“待处理、已处理”两种状态，已处理事件不再显示出来。</w:t>
      </w:r>
    </w:p>
    <w:p w14:paraId="2C2EB364">
      <w:pPr>
        <w:pStyle w:val="4"/>
        <w:numPr>
          <w:ilvl w:val="1"/>
          <w:numId w:val="6"/>
        </w:numPr>
      </w:pPr>
      <w:r>
        <w:rPr>
          <w:rFonts w:hint="eastAsia"/>
        </w:rPr>
        <w:t>报表统计</w:t>
      </w:r>
    </w:p>
    <w:p w14:paraId="09120A0F">
      <w:pPr>
        <w:widowControl/>
        <w:ind w:firstLine="640"/>
      </w:pPr>
      <w:r>
        <w:rPr>
          <w:rFonts w:hint="eastAsia" w:ascii="等线" w:hAnsi="等线" w:cs="等线"/>
        </w:rPr>
        <w:t>按照行政区域、机构分类可生成不同地区或者机构的相关数据报表，并且支持导出功能，对转诊情况、诊间远程医疗情况、院后随访情况、移动查房情况、预约情况等进行实时的统计及全方位的分析，为医疗机构，行政管理部门、转诊服务中心的监督、管理、分析等工作提供重要的数据支持，完善转诊制度，规范转诊指征，优化转诊流程。</w:t>
      </w:r>
    </w:p>
    <w:p w14:paraId="38F7BBE8">
      <w:pPr>
        <w:pStyle w:val="4"/>
        <w:numPr>
          <w:ilvl w:val="1"/>
          <w:numId w:val="6"/>
        </w:numPr>
      </w:pPr>
      <w:r>
        <w:rPr>
          <w:rFonts w:hint="eastAsia"/>
        </w:rPr>
        <w:t>转诊接收</w:t>
      </w:r>
    </w:p>
    <w:p w14:paraId="1FA68579">
      <w:pPr>
        <w:ind w:firstLine="640"/>
        <w:rPr>
          <w:rFonts w:hint="eastAsia" w:ascii="等线" w:hAnsi="等线" w:cs="等线"/>
        </w:rPr>
      </w:pPr>
      <w:r>
        <w:rPr>
          <w:rFonts w:hint="eastAsia" w:ascii="等线" w:hAnsi="等线" w:cs="等线"/>
        </w:rPr>
        <w:t>医生登录系统后，会有工作提醒显示是否有待接收病人。接收之前，可首先详细了解病人的病情、病历、检查检验以及转诊原因等。</w:t>
      </w:r>
    </w:p>
    <w:p w14:paraId="10BBA45E">
      <w:pPr>
        <w:pStyle w:val="4"/>
        <w:numPr>
          <w:ilvl w:val="1"/>
          <w:numId w:val="6"/>
        </w:numPr>
      </w:pPr>
      <w:r>
        <w:rPr>
          <w:rFonts w:hint="eastAsia"/>
        </w:rPr>
        <w:t xml:space="preserve"> 统一药品目录</w:t>
      </w:r>
    </w:p>
    <w:p w14:paraId="036A8C48">
      <w:pPr>
        <w:widowControl/>
        <w:ind w:firstLine="640"/>
        <w:rPr>
          <w:rFonts w:hint="eastAsia" w:ascii="等线" w:hAnsi="等线" w:cs="等线"/>
        </w:rPr>
      </w:pPr>
      <w:r>
        <w:rPr>
          <w:rFonts w:hint="eastAsia" w:ascii="等线" w:hAnsi="等线" w:cs="等线"/>
        </w:rPr>
        <w:t>通过统一区域内医疗机构药品目录，达到药品上下级衔接，方便医生开药、患者取药、药品配送。</w:t>
      </w:r>
    </w:p>
    <w:p w14:paraId="023511C6">
      <w:pPr>
        <w:pStyle w:val="4"/>
        <w:numPr>
          <w:ilvl w:val="1"/>
          <w:numId w:val="6"/>
        </w:numPr>
      </w:pPr>
      <w:r>
        <w:rPr>
          <w:rFonts w:hint="eastAsia"/>
        </w:rPr>
        <w:t>用户管理</w:t>
      </w:r>
    </w:p>
    <w:p w14:paraId="0995F016">
      <w:pPr>
        <w:widowControl/>
        <w:ind w:firstLine="640"/>
        <w:rPr>
          <w:rFonts w:hint="eastAsia" w:ascii="等线" w:hAnsi="等线" w:cs="等线"/>
        </w:rPr>
      </w:pPr>
      <w:r>
        <w:rPr>
          <w:rFonts w:hint="eastAsia" w:ascii="等线" w:hAnsi="等线" w:cs="等线"/>
        </w:rPr>
        <w:t>成立区域转诊服务中心，统一管理区域内转诊相关事宜，对所有医疗机构用户进行管理。</w:t>
      </w:r>
    </w:p>
    <w:p w14:paraId="69CBA95D">
      <w:pPr>
        <w:pStyle w:val="3"/>
        <w:numPr>
          <w:ilvl w:val="0"/>
          <w:numId w:val="4"/>
        </w:numPr>
        <w:ind w:firstLine="883"/>
        <w:jc w:val="center"/>
      </w:pPr>
      <w:bookmarkStart w:id="165" w:name="_Toc167878538"/>
      <w:r>
        <w:rPr>
          <w:rFonts w:hint="eastAsia"/>
        </w:rPr>
        <w:t>医共体一体化监管平台</w:t>
      </w:r>
    </w:p>
    <w:p w14:paraId="61C49F6D">
      <w:pPr>
        <w:pStyle w:val="4"/>
        <w:numPr>
          <w:ilvl w:val="1"/>
          <w:numId w:val="8"/>
        </w:numPr>
      </w:pPr>
      <w:r>
        <w:rPr>
          <w:rFonts w:hint="eastAsia"/>
        </w:rPr>
        <w:t>综合指标分析</w:t>
      </w:r>
      <w:bookmarkEnd w:id="165"/>
    </w:p>
    <w:p w14:paraId="359975D1">
      <w:pPr>
        <w:ind w:firstLine="640"/>
        <w:rPr>
          <w:rFonts w:hint="eastAsia" w:ascii="宋体" w:hAnsi="宋体" w:cs="仿宋"/>
          <w:bCs/>
          <w:szCs w:val="24"/>
        </w:rPr>
      </w:pPr>
      <w:r>
        <w:rPr>
          <w:rFonts w:hint="eastAsia" w:ascii="宋体" w:hAnsi="宋体" w:cs="仿宋"/>
          <w:bCs/>
          <w:szCs w:val="24"/>
        </w:rPr>
        <w:t>首屏为监管平台的主功能区，展示区域内的主要指标的情况：</w:t>
      </w:r>
    </w:p>
    <w:p w14:paraId="761FDD78">
      <w:pPr>
        <w:numPr>
          <w:ilvl w:val="0"/>
          <w:numId w:val="9"/>
        </w:numPr>
        <w:tabs>
          <w:tab w:val="left" w:pos="312"/>
        </w:tabs>
        <w:ind w:firstLine="640"/>
        <w:rPr>
          <w:rFonts w:hint="eastAsia" w:ascii="宋体" w:hAnsi="宋体" w:cs="仿宋"/>
          <w:bCs/>
          <w:szCs w:val="24"/>
        </w:rPr>
      </w:pPr>
      <w:r>
        <w:rPr>
          <w:rFonts w:hint="eastAsia" w:ascii="宋体" w:hAnsi="宋体" w:cs="仿宋"/>
          <w:bCs/>
          <w:szCs w:val="24"/>
        </w:rPr>
        <w:t>医改展板:</w:t>
      </w:r>
    </w:p>
    <w:p w14:paraId="3D053D41">
      <w:pPr>
        <w:ind w:firstLine="640"/>
        <w:rPr>
          <w:rFonts w:hint="eastAsia" w:ascii="宋体" w:hAnsi="宋体" w:cs="仿宋"/>
          <w:bCs/>
          <w:szCs w:val="24"/>
        </w:rPr>
      </w:pPr>
      <w:r>
        <w:rPr>
          <w:rFonts w:hint="eastAsia" w:ascii="宋体" w:hAnsi="宋体" w:cs="仿宋"/>
          <w:bCs/>
          <w:szCs w:val="24"/>
        </w:rPr>
        <w:t>用于展示新一轮医改以来百姓负担与医保可持续两个大方面进行对比分析，展示医改成果，充分体现了医改以来百姓与基金受益情况，以及医改的方向的正确性，进一步坚定医改工作者的决心：</w:t>
      </w:r>
    </w:p>
    <w:p w14:paraId="14270FFC">
      <w:pPr>
        <w:ind w:left="480" w:leftChars="150" w:firstLine="640"/>
        <w:rPr>
          <w:rFonts w:hint="eastAsia" w:ascii="宋体" w:hAnsi="宋体" w:cs="仿宋"/>
          <w:bCs/>
          <w:szCs w:val="24"/>
        </w:rPr>
      </w:pPr>
      <w:r>
        <w:rPr>
          <w:rFonts w:hint="eastAsia" w:ascii="宋体" w:hAnsi="宋体" w:cs="仿宋"/>
          <w:bCs/>
          <w:szCs w:val="24"/>
        </w:rPr>
        <w:t>1)百姓负担分析：城乡居民患者出院次均自付、城镇职工患者出院次均自付按年分析及情况；</w:t>
      </w:r>
    </w:p>
    <w:p w14:paraId="351BF6FB">
      <w:pPr>
        <w:ind w:left="480" w:leftChars="150" w:firstLine="640"/>
        <w:rPr>
          <w:rFonts w:hint="eastAsia" w:ascii="宋体" w:hAnsi="宋体" w:cs="仿宋"/>
          <w:bCs/>
          <w:szCs w:val="24"/>
        </w:rPr>
      </w:pPr>
      <w:r>
        <w:rPr>
          <w:rFonts w:hint="eastAsia" w:ascii="宋体" w:hAnsi="宋体" w:cs="仿宋"/>
          <w:bCs/>
          <w:szCs w:val="24"/>
        </w:rPr>
        <w:t>2)医保可持续分析：城乡居民医保基金次均支出、城镇职工医保基金次均支出按年分析及情况；</w:t>
      </w:r>
    </w:p>
    <w:p w14:paraId="77131B45">
      <w:pPr>
        <w:numPr>
          <w:ilvl w:val="0"/>
          <w:numId w:val="9"/>
        </w:numPr>
        <w:tabs>
          <w:tab w:val="left" w:pos="312"/>
        </w:tabs>
        <w:ind w:firstLine="640"/>
        <w:rPr>
          <w:rFonts w:hint="eastAsia" w:ascii="宋体" w:hAnsi="宋体" w:cs="仿宋"/>
          <w:bCs/>
          <w:szCs w:val="24"/>
        </w:rPr>
      </w:pPr>
      <w:r>
        <w:rPr>
          <w:rFonts w:hint="eastAsia" w:ascii="宋体" w:hAnsi="宋体" w:cs="仿宋"/>
          <w:bCs/>
          <w:szCs w:val="24"/>
        </w:rPr>
        <w:t>财务、工作量指标动态信息及汇总：</w:t>
      </w:r>
    </w:p>
    <w:p w14:paraId="1823CAAE">
      <w:pPr>
        <w:numPr>
          <w:ilvl w:val="0"/>
          <w:numId w:val="10"/>
        </w:numPr>
        <w:tabs>
          <w:tab w:val="left" w:pos="-228"/>
          <w:tab w:val="clear" w:pos="312"/>
        </w:tabs>
        <w:ind w:left="560" w:leftChars="175" w:firstLine="640"/>
        <w:rPr>
          <w:rFonts w:hint="eastAsia" w:ascii="宋体" w:hAnsi="宋体" w:cs="仿宋"/>
          <w:bCs/>
          <w:szCs w:val="24"/>
        </w:rPr>
      </w:pPr>
      <w:r>
        <w:rPr>
          <w:rFonts w:hint="eastAsia" w:ascii="宋体" w:hAnsi="宋体" w:cs="仿宋"/>
          <w:bCs/>
          <w:szCs w:val="24"/>
        </w:rPr>
        <w:t>今日动态：展示互联网服务人次、取药服务人次、移动支付笔数、检查化验人次、门急诊人次、出院人数、在院人数、入院人数、住院收入、门诊收入、分级诊疗人次等指标信息。</w:t>
      </w:r>
    </w:p>
    <w:p w14:paraId="741DC71C">
      <w:pPr>
        <w:numPr>
          <w:ilvl w:val="0"/>
          <w:numId w:val="10"/>
        </w:numPr>
        <w:tabs>
          <w:tab w:val="left" w:pos="-228"/>
          <w:tab w:val="clear" w:pos="312"/>
        </w:tabs>
        <w:ind w:left="560" w:leftChars="175" w:firstLine="640"/>
        <w:rPr>
          <w:rFonts w:hint="eastAsia" w:ascii="宋体" w:hAnsi="宋体" w:cs="仿宋"/>
          <w:bCs/>
          <w:szCs w:val="24"/>
        </w:rPr>
      </w:pPr>
      <w:r>
        <w:rPr>
          <w:rFonts w:hint="eastAsia" w:ascii="宋体" w:hAnsi="宋体" w:cs="仿宋"/>
          <w:bCs/>
          <w:szCs w:val="24"/>
        </w:rPr>
        <w:t>全年汇总：展示医疗总收入及同比、市级医疗收入及同比、市级出院人次及同比、市级门急诊人次及同比、市级药品收入占比及同比、市级医务性收入占比及同比、市级卫生材料收入占比及同比、市级检查检验收入占比及同比、市级手术台次、互联网类服务量、市外转诊人次、市级线上预约量、市级移动支付量、市级移动支付率等指标信息。</w:t>
      </w:r>
    </w:p>
    <w:p w14:paraId="091211AA">
      <w:pPr>
        <w:numPr>
          <w:ilvl w:val="0"/>
          <w:numId w:val="9"/>
        </w:numPr>
        <w:tabs>
          <w:tab w:val="left" w:pos="312"/>
        </w:tabs>
        <w:ind w:firstLine="640"/>
        <w:rPr>
          <w:rFonts w:hint="eastAsia" w:ascii="宋体" w:hAnsi="宋体" w:cs="仿宋"/>
          <w:bCs/>
          <w:szCs w:val="24"/>
        </w:rPr>
      </w:pPr>
      <w:r>
        <w:rPr>
          <w:rFonts w:hint="eastAsia" w:ascii="宋体" w:hAnsi="宋体" w:cs="仿宋"/>
          <w:bCs/>
          <w:szCs w:val="24"/>
        </w:rPr>
        <w:t>病种付费：展示病种分组数、已开展病种数、平均住院天数、次均费用等情况。</w:t>
      </w:r>
    </w:p>
    <w:p w14:paraId="1C604C20">
      <w:pPr>
        <w:numPr>
          <w:ilvl w:val="0"/>
          <w:numId w:val="9"/>
        </w:numPr>
        <w:tabs>
          <w:tab w:val="left" w:pos="312"/>
        </w:tabs>
        <w:ind w:firstLine="640"/>
        <w:rPr>
          <w:rFonts w:hint="eastAsia" w:ascii="宋体" w:hAnsi="宋体" w:cs="仿宋"/>
          <w:bCs/>
          <w:szCs w:val="24"/>
        </w:rPr>
      </w:pPr>
      <w:r>
        <w:rPr>
          <w:rFonts w:hint="eastAsia" w:ascii="宋体" w:hAnsi="宋体" w:cs="仿宋"/>
          <w:bCs/>
          <w:szCs w:val="24"/>
        </w:rPr>
        <w:t>地图：展示市域医共体内公立卫生机构数量、总医院院区数量、中医院院区数量、乡镇卫生院数量、村卫生所数量、职工数、卫生专业技术人员数量、社区服务中心数量、常住人口、每千人医疗技术人员数量等。</w:t>
      </w:r>
    </w:p>
    <w:p w14:paraId="70683990">
      <w:pPr>
        <w:numPr>
          <w:ilvl w:val="0"/>
          <w:numId w:val="9"/>
        </w:numPr>
        <w:tabs>
          <w:tab w:val="left" w:pos="312"/>
        </w:tabs>
        <w:ind w:firstLine="640"/>
        <w:rPr>
          <w:rFonts w:hint="eastAsia" w:ascii="宋体" w:hAnsi="宋体" w:cs="仿宋"/>
          <w:bCs/>
          <w:szCs w:val="24"/>
        </w:rPr>
      </w:pPr>
      <w:r>
        <w:rPr>
          <w:rFonts w:hint="eastAsia" w:ascii="宋体" w:hAnsi="宋体" w:cs="仿宋"/>
          <w:bCs/>
          <w:szCs w:val="24"/>
        </w:rPr>
        <w:t>分级诊疗：转诊累计人次、各转诊类型转诊人数及同比。</w:t>
      </w:r>
    </w:p>
    <w:p w14:paraId="1A43B774">
      <w:pPr>
        <w:pStyle w:val="4"/>
        <w:numPr>
          <w:ilvl w:val="1"/>
          <w:numId w:val="8"/>
        </w:numPr>
      </w:pPr>
      <w:bookmarkStart w:id="166" w:name="_Toc167878539"/>
      <w:r>
        <w:rPr>
          <w:rFonts w:hint="eastAsia"/>
        </w:rPr>
        <w:t>医疗服务分析</w:t>
      </w:r>
      <w:bookmarkEnd w:id="166"/>
    </w:p>
    <w:p w14:paraId="4191354E">
      <w:pPr>
        <w:pStyle w:val="5"/>
        <w:numPr>
          <w:ilvl w:val="2"/>
          <w:numId w:val="8"/>
        </w:numPr>
      </w:pPr>
      <w:bookmarkStart w:id="167" w:name="_Toc167878540"/>
      <w:r>
        <w:rPr>
          <w:rFonts w:hint="eastAsia"/>
        </w:rPr>
        <w:t>病种分析</w:t>
      </w:r>
      <w:bookmarkEnd w:id="167"/>
    </w:p>
    <w:p w14:paraId="47C7267E">
      <w:pPr>
        <w:ind w:firstLine="640"/>
        <w:rPr>
          <w:rFonts w:hint="eastAsia" w:ascii="宋体" w:hAnsi="宋体" w:cs="仿宋"/>
          <w:bCs/>
        </w:rPr>
      </w:pPr>
      <w:r>
        <w:rPr>
          <w:rFonts w:hint="eastAsia" w:ascii="宋体" w:hAnsi="宋体" w:cs="仿宋"/>
          <w:bCs/>
        </w:rPr>
        <w:t>对区域内的病种进行多维度的分析，如drgs各项指标分析、病种付费与工分分析、c-drg分析等。</w:t>
      </w:r>
    </w:p>
    <w:p w14:paraId="1117100F">
      <w:pPr>
        <w:numPr>
          <w:ilvl w:val="0"/>
          <w:numId w:val="11"/>
        </w:numPr>
        <w:ind w:firstLine="0" w:firstLineChars="0"/>
        <w:jc w:val="both"/>
        <w:rPr>
          <w:rFonts w:hint="eastAsia" w:ascii="宋体" w:hAnsi="宋体" w:cs="仿宋"/>
        </w:rPr>
      </w:pPr>
      <w:r>
        <w:rPr>
          <w:rFonts w:hint="eastAsia" w:ascii="宋体" w:hAnsi="宋体" w:cs="仿宋"/>
        </w:rPr>
        <w:t>drgs各项指标分析：如统计某病种的例数、平均费用、统筹金额、自付比例、平均住院天数、各费用情况等，可下钻到查看具体病种付费与工分分析。</w:t>
      </w:r>
    </w:p>
    <w:p w14:paraId="18A968A4">
      <w:pPr>
        <w:numPr>
          <w:ilvl w:val="0"/>
          <w:numId w:val="11"/>
        </w:numPr>
        <w:ind w:firstLine="0" w:firstLineChars="0"/>
        <w:jc w:val="both"/>
        <w:rPr>
          <w:rFonts w:hint="eastAsia" w:ascii="宋体" w:hAnsi="宋体" w:cs="仿宋"/>
        </w:rPr>
      </w:pPr>
      <w:r>
        <w:rPr>
          <w:rFonts w:hint="eastAsia" w:ascii="宋体" w:hAnsi="宋体" w:cs="仿宋"/>
        </w:rPr>
        <w:t>病种付费与工分分析：某病人的发生病种工分及其他指标，如自付比例、住院天数、费用指标等，可下钻查看费用明细（可按项目名称、发票名称、收费时间多维度查看）、显示该病种诊断信息（诊断信息、rbrvs明细、手术记录）、查看该病人的居民健康档案。</w:t>
      </w:r>
    </w:p>
    <w:p w14:paraId="3A3C84A0">
      <w:pPr>
        <w:numPr>
          <w:ilvl w:val="0"/>
          <w:numId w:val="11"/>
        </w:numPr>
        <w:ind w:firstLine="0" w:firstLineChars="0"/>
        <w:jc w:val="both"/>
        <w:rPr>
          <w:rFonts w:hint="eastAsia" w:ascii="宋体" w:hAnsi="宋体" w:cs="仿宋"/>
        </w:rPr>
      </w:pPr>
      <w:r>
        <w:rPr>
          <w:rFonts w:hint="eastAsia" w:ascii="宋体" w:hAnsi="宋体" w:cs="仿宋"/>
        </w:rPr>
        <w:t>C-DRG分析:主要展示医疗总价格、基定金额支付标准、个人自付标准、个人自付标准比例、统筹金额、自付比例、病种补偿、以及其他诊断明细、费用明细，可查看该病人的居民健康档案。</w:t>
      </w:r>
    </w:p>
    <w:p w14:paraId="71214828">
      <w:pPr>
        <w:pStyle w:val="5"/>
        <w:numPr>
          <w:ilvl w:val="2"/>
          <w:numId w:val="8"/>
        </w:numPr>
      </w:pPr>
      <w:bookmarkStart w:id="168" w:name="_Toc167878542"/>
      <w:r>
        <w:t>分级诊疗</w:t>
      </w:r>
      <w:bookmarkEnd w:id="168"/>
    </w:p>
    <w:p w14:paraId="196D7303">
      <w:pPr>
        <w:ind w:firstLine="640"/>
      </w:pPr>
      <w:r>
        <w:rPr>
          <w:rFonts w:hint="eastAsia"/>
        </w:rPr>
        <w:t>(1)</w:t>
      </w:r>
      <w:r>
        <w:rPr>
          <w:rFonts w:hint="eastAsia"/>
        </w:rPr>
        <w:tab/>
      </w:r>
      <w:r>
        <w:rPr>
          <w:rFonts w:hint="eastAsia"/>
        </w:rPr>
        <w:t>基层首诊</w:t>
      </w:r>
    </w:p>
    <w:p w14:paraId="65DFAC70">
      <w:pPr>
        <w:ind w:firstLine="640"/>
      </w:pPr>
      <w:r>
        <w:rPr>
          <w:rFonts w:hint="eastAsia"/>
        </w:rPr>
        <w:t>展示基层就诊率、市域内住院量占比、市级医院开展病种数、市域内转外病种分析。</w:t>
      </w:r>
    </w:p>
    <w:p w14:paraId="28D42EDD">
      <w:pPr>
        <w:ind w:firstLine="640"/>
      </w:pPr>
      <w:r>
        <w:rPr>
          <w:rFonts w:hint="eastAsia"/>
        </w:rPr>
        <w:t>(2)</w:t>
      </w:r>
      <w:r>
        <w:rPr>
          <w:rFonts w:hint="eastAsia"/>
        </w:rPr>
        <w:tab/>
      </w:r>
      <w:r>
        <w:rPr>
          <w:rFonts w:hint="eastAsia"/>
        </w:rPr>
        <w:t>双向转诊</w:t>
      </w:r>
    </w:p>
    <w:p w14:paraId="7318F02A">
      <w:pPr>
        <w:ind w:firstLine="640"/>
      </w:pPr>
      <w:r>
        <w:rPr>
          <w:rFonts w:hint="eastAsia"/>
        </w:rPr>
        <w:t>对区域内的双向转诊进行多维度的分析，如转诊类型分析、转诊人数分析等。</w:t>
      </w:r>
    </w:p>
    <w:p w14:paraId="04B33152">
      <w:pPr>
        <w:ind w:firstLine="640"/>
      </w:pPr>
      <w:r>
        <w:rPr>
          <w:rFonts w:hint="eastAsia"/>
        </w:rPr>
        <w:t>转诊类型分为：本院转上级、基层转本院、本院转基层、门诊下转、康复期下转；选择对应的类型展示对应的数据信息，且有不同的转诊单。</w:t>
      </w:r>
    </w:p>
    <w:p w14:paraId="7E6A7D43">
      <w:pPr>
        <w:ind w:firstLine="640"/>
      </w:pPr>
      <w:r>
        <w:rPr>
          <w:rFonts w:hint="eastAsia"/>
        </w:rPr>
        <w:t>① 各转入医院的接收转诊人次及占比分析。</w:t>
      </w:r>
    </w:p>
    <w:p w14:paraId="645B16EA">
      <w:pPr>
        <w:ind w:firstLine="640"/>
      </w:pPr>
      <w:r>
        <w:rPr>
          <w:rFonts w:hint="eastAsia"/>
        </w:rPr>
        <w:t>② 某医院的转诊具体明细（由1的人次占比分析进行联动），展示病人基本信息、初步诊断、转出原因等字段，可查看对应的转诊单，以及该病人的居民健康档案。</w:t>
      </w:r>
    </w:p>
    <w:p w14:paraId="2AF6B3B9">
      <w:pPr>
        <w:ind w:firstLine="640"/>
      </w:pPr>
      <w:r>
        <w:rPr>
          <w:rFonts w:hint="eastAsia"/>
        </w:rPr>
        <w:t>(3)</w:t>
      </w:r>
      <w:r>
        <w:rPr>
          <w:rFonts w:hint="eastAsia"/>
        </w:rPr>
        <w:tab/>
      </w:r>
      <w:r>
        <w:rPr>
          <w:rFonts w:hint="eastAsia"/>
        </w:rPr>
        <w:t>急慢分治</w:t>
      </w:r>
    </w:p>
    <w:p w14:paraId="15AE62A9">
      <w:pPr>
        <w:ind w:firstLine="640"/>
      </w:pPr>
      <w:r>
        <w:rPr>
          <w:rFonts w:hint="eastAsia"/>
        </w:rPr>
        <w:t>查看各个卫生院的转诊情况、可以查看病人的转诊单、费用明细、费用分析等。</w:t>
      </w:r>
    </w:p>
    <w:p w14:paraId="6834C00C">
      <w:pPr>
        <w:ind w:firstLine="640"/>
      </w:pPr>
      <w:r>
        <w:rPr>
          <w:rFonts w:hint="eastAsia"/>
        </w:rPr>
        <w:t>(4)</w:t>
      </w:r>
      <w:r>
        <w:rPr>
          <w:rFonts w:hint="eastAsia"/>
        </w:rPr>
        <w:tab/>
      </w:r>
      <w:r>
        <w:rPr>
          <w:rFonts w:hint="eastAsia"/>
        </w:rPr>
        <w:t>上下联动</w:t>
      </w:r>
    </w:p>
    <w:p w14:paraId="37E60048">
      <w:pPr>
        <w:ind w:firstLine="640"/>
      </w:pPr>
      <w:r>
        <w:rPr>
          <w:rFonts w:hint="eastAsia"/>
        </w:rPr>
        <w:t>展示各个医院的人员上下变动，如下乡人员、市级进修人员、基层进修人员、规培人员、轮转人员。</w:t>
      </w:r>
    </w:p>
    <w:p w14:paraId="02697D4F">
      <w:pPr>
        <w:pStyle w:val="5"/>
        <w:numPr>
          <w:ilvl w:val="2"/>
          <w:numId w:val="8"/>
        </w:numPr>
      </w:pPr>
      <w:bookmarkStart w:id="169" w:name="_Toc167878544"/>
      <w:r>
        <w:rPr>
          <w:rFonts w:hint="eastAsia"/>
        </w:rPr>
        <w:t>检查检验中心</w:t>
      </w:r>
      <w:bookmarkEnd w:id="169"/>
    </w:p>
    <w:p w14:paraId="02E009FE">
      <w:pPr>
        <w:ind w:firstLine="640"/>
        <w:rPr>
          <w:rFonts w:hint="eastAsia" w:ascii="宋体" w:hAnsi="宋体" w:cs="仿宋"/>
          <w:bCs/>
        </w:rPr>
      </w:pPr>
      <w:r>
        <w:rPr>
          <w:rFonts w:hint="eastAsia" w:ascii="宋体" w:hAnsi="宋体" w:cs="仿宋"/>
          <w:bCs/>
        </w:rPr>
        <w:t>对区域内的检查检验进行多维度的分析，如按类别分析、按院区分析等。</w:t>
      </w:r>
    </w:p>
    <w:p w14:paraId="3FAFF32F">
      <w:pPr>
        <w:numPr>
          <w:ilvl w:val="0"/>
          <w:numId w:val="12"/>
        </w:numPr>
        <w:ind w:firstLine="640"/>
        <w:jc w:val="both"/>
        <w:rPr>
          <w:rFonts w:hint="eastAsia" w:ascii="宋体" w:hAnsi="宋体" w:cs="仿宋"/>
          <w:bCs/>
        </w:rPr>
      </w:pPr>
      <w:r>
        <w:rPr>
          <w:rFonts w:hint="eastAsia" w:ascii="宋体" w:hAnsi="宋体" w:cs="仿宋"/>
          <w:bCs/>
        </w:rPr>
        <w:t>各院区下CT、DR、MR、PIS、RF、ST、US、检验的报告数量分析。</w:t>
      </w:r>
    </w:p>
    <w:p w14:paraId="6CD4E0EA">
      <w:pPr>
        <w:numPr>
          <w:ilvl w:val="0"/>
          <w:numId w:val="12"/>
        </w:numPr>
        <w:ind w:firstLine="640"/>
        <w:jc w:val="both"/>
        <w:rPr>
          <w:rFonts w:hint="eastAsia" w:ascii="宋体" w:hAnsi="宋体" w:cs="仿宋"/>
          <w:bCs/>
        </w:rPr>
      </w:pPr>
      <w:r>
        <w:rPr>
          <w:rFonts w:hint="eastAsia" w:ascii="宋体" w:hAnsi="宋体" w:cs="仿宋"/>
          <w:bCs/>
        </w:rPr>
        <w:t>区域内检验配送清单分析。</w:t>
      </w:r>
    </w:p>
    <w:p w14:paraId="6FD4C45D">
      <w:pPr>
        <w:numPr>
          <w:ilvl w:val="0"/>
          <w:numId w:val="12"/>
        </w:numPr>
        <w:ind w:firstLine="640"/>
        <w:jc w:val="both"/>
        <w:rPr>
          <w:rFonts w:hint="eastAsia" w:ascii="宋体" w:hAnsi="宋体" w:cs="仿宋"/>
          <w:bCs/>
        </w:rPr>
      </w:pPr>
      <w:r>
        <w:rPr>
          <w:rFonts w:hint="eastAsia" w:ascii="宋体" w:hAnsi="宋体" w:cs="仿宋"/>
          <w:bCs/>
        </w:rPr>
        <w:t>某院区的某检查检验类型具体明细（到病人、由1的报告数量分析双击进行联动），可下转查看该病人的所有检查检验情况（按院区、次数）以及报告单、医学影像、图片等信息；并提供了按检查时间排序，置顶、查看居民健康档案等功能。</w:t>
      </w:r>
    </w:p>
    <w:p w14:paraId="16DFA4A6">
      <w:pPr>
        <w:pStyle w:val="4"/>
        <w:numPr>
          <w:ilvl w:val="1"/>
          <w:numId w:val="8"/>
        </w:numPr>
      </w:pPr>
      <w:bookmarkStart w:id="170" w:name="_Toc167878545"/>
      <w:r>
        <w:rPr>
          <w:rFonts w:hint="eastAsia"/>
        </w:rPr>
        <w:t>医共体运营情况分析</w:t>
      </w:r>
      <w:bookmarkEnd w:id="170"/>
    </w:p>
    <w:p w14:paraId="137C760F">
      <w:pPr>
        <w:pStyle w:val="5"/>
        <w:numPr>
          <w:ilvl w:val="2"/>
          <w:numId w:val="8"/>
        </w:numPr>
      </w:pPr>
      <w:bookmarkStart w:id="171" w:name="_Toc167878546"/>
      <w:r>
        <w:rPr>
          <w:rFonts w:hint="eastAsia"/>
        </w:rPr>
        <w:t>统一人事</w:t>
      </w:r>
      <w:bookmarkEnd w:id="171"/>
    </w:p>
    <w:p w14:paraId="5FB90E8A">
      <w:pPr>
        <w:pStyle w:val="7"/>
        <w:numPr>
          <w:ilvl w:val="0"/>
          <w:numId w:val="13"/>
        </w:numPr>
        <w:ind w:firstLine="480"/>
        <w:rPr>
          <w:rFonts w:hint="eastAsia" w:ascii="宋体" w:hAnsi="宋体" w:cs="仿宋"/>
        </w:rPr>
      </w:pPr>
      <w:r>
        <w:rPr>
          <w:rFonts w:hint="eastAsia" w:ascii="宋体" w:hAnsi="宋体" w:cs="仿宋"/>
        </w:rPr>
        <w:t>各医疗机构人员数分析。</w:t>
      </w:r>
    </w:p>
    <w:p w14:paraId="3581ADA6">
      <w:pPr>
        <w:pStyle w:val="7"/>
        <w:numPr>
          <w:ilvl w:val="0"/>
          <w:numId w:val="13"/>
        </w:numPr>
        <w:ind w:firstLine="480"/>
        <w:rPr>
          <w:rFonts w:hint="eastAsia" w:ascii="宋体" w:hAnsi="宋体" w:cs="仿宋"/>
        </w:rPr>
      </w:pPr>
      <w:r>
        <w:rPr>
          <w:rFonts w:hint="eastAsia" w:ascii="宋体" w:hAnsi="宋体" w:cs="仿宋"/>
        </w:rPr>
        <w:t>各医疗机构人员按照职能、时间段分类分析。</w:t>
      </w:r>
    </w:p>
    <w:p w14:paraId="217C86A8">
      <w:pPr>
        <w:pStyle w:val="7"/>
        <w:numPr>
          <w:ilvl w:val="0"/>
          <w:numId w:val="13"/>
        </w:numPr>
        <w:ind w:firstLine="480"/>
        <w:rPr>
          <w:rFonts w:hint="eastAsia" w:ascii="宋体" w:hAnsi="宋体" w:cs="仿宋"/>
        </w:rPr>
      </w:pPr>
      <w:r>
        <w:rPr>
          <w:rFonts w:hint="eastAsia" w:ascii="宋体" w:hAnsi="宋体" w:cs="仿宋"/>
        </w:rPr>
        <w:t>各医疗机构人员按照职称、时间段分类分析。</w:t>
      </w:r>
    </w:p>
    <w:p w14:paraId="147D2FD1">
      <w:pPr>
        <w:pStyle w:val="7"/>
        <w:numPr>
          <w:ilvl w:val="0"/>
          <w:numId w:val="13"/>
        </w:numPr>
        <w:ind w:firstLine="480"/>
        <w:rPr>
          <w:rFonts w:hint="eastAsia" w:ascii="宋体" w:hAnsi="宋体" w:cs="仿宋"/>
        </w:rPr>
      </w:pPr>
      <w:r>
        <w:rPr>
          <w:rFonts w:hint="eastAsia" w:ascii="宋体" w:hAnsi="宋体" w:cs="仿宋"/>
        </w:rPr>
        <w:t>各医疗机构人员按照职务、时间段分类分析。</w:t>
      </w:r>
    </w:p>
    <w:p w14:paraId="0699D223">
      <w:pPr>
        <w:pStyle w:val="7"/>
        <w:numPr>
          <w:ilvl w:val="0"/>
          <w:numId w:val="13"/>
        </w:numPr>
        <w:ind w:firstLine="480"/>
        <w:rPr>
          <w:rFonts w:hint="eastAsia" w:ascii="宋体" w:hAnsi="宋体" w:cs="仿宋"/>
        </w:rPr>
      </w:pPr>
      <w:r>
        <w:rPr>
          <w:rFonts w:hint="eastAsia" w:ascii="宋体" w:hAnsi="宋体" w:cs="仿宋"/>
        </w:rPr>
        <w:t>各医疗机构人员按照时间段占比分析。</w:t>
      </w:r>
    </w:p>
    <w:p w14:paraId="2C0E6E43">
      <w:pPr>
        <w:pStyle w:val="7"/>
        <w:numPr>
          <w:ilvl w:val="0"/>
          <w:numId w:val="13"/>
        </w:numPr>
        <w:ind w:firstLine="480"/>
        <w:rPr>
          <w:rFonts w:hint="eastAsia" w:ascii="宋体" w:hAnsi="宋体" w:cs="仿宋"/>
        </w:rPr>
      </w:pPr>
      <w:r>
        <w:rPr>
          <w:rFonts w:hint="eastAsia" w:ascii="宋体" w:hAnsi="宋体" w:cs="仿宋"/>
        </w:rPr>
        <w:t>各医疗机构人员按照职能-部门分析。</w:t>
      </w:r>
    </w:p>
    <w:p w14:paraId="3CF371B5">
      <w:pPr>
        <w:pStyle w:val="7"/>
        <w:numPr>
          <w:ilvl w:val="0"/>
          <w:numId w:val="13"/>
        </w:numPr>
        <w:ind w:firstLine="480"/>
        <w:rPr>
          <w:rFonts w:hint="eastAsia" w:ascii="宋体" w:hAnsi="宋体" w:cs="仿宋"/>
        </w:rPr>
      </w:pPr>
      <w:r>
        <w:rPr>
          <w:rFonts w:hint="eastAsia" w:ascii="宋体" w:hAnsi="宋体" w:cs="仿宋"/>
        </w:rPr>
        <w:t>各医疗机构人员按照职称-部门分析。</w:t>
      </w:r>
    </w:p>
    <w:p w14:paraId="2D79E1C7">
      <w:pPr>
        <w:pStyle w:val="7"/>
        <w:numPr>
          <w:ilvl w:val="0"/>
          <w:numId w:val="13"/>
        </w:numPr>
        <w:ind w:firstLine="480"/>
        <w:rPr>
          <w:rFonts w:hint="eastAsia" w:ascii="宋体" w:hAnsi="宋体" w:cs="仿宋"/>
        </w:rPr>
      </w:pPr>
      <w:r>
        <w:rPr>
          <w:rFonts w:hint="eastAsia" w:ascii="宋体" w:hAnsi="宋体" w:cs="仿宋"/>
        </w:rPr>
        <w:t>各医疗机构人员按照职务-部门分析。</w:t>
      </w:r>
    </w:p>
    <w:p w14:paraId="72720B8E">
      <w:pPr>
        <w:pStyle w:val="7"/>
        <w:numPr>
          <w:ilvl w:val="0"/>
          <w:numId w:val="13"/>
        </w:numPr>
        <w:ind w:firstLine="480"/>
        <w:rPr>
          <w:rFonts w:hint="eastAsia" w:ascii="宋体" w:hAnsi="宋体" w:cs="仿宋"/>
        </w:rPr>
      </w:pPr>
      <w:r>
        <w:rPr>
          <w:rFonts w:hint="eastAsia" w:ascii="宋体" w:hAnsi="宋体" w:cs="仿宋"/>
        </w:rPr>
        <w:t>各医疗机构人员明细分析。</w:t>
      </w:r>
    </w:p>
    <w:p w14:paraId="288CDDCF">
      <w:pPr>
        <w:pStyle w:val="7"/>
        <w:numPr>
          <w:ilvl w:val="0"/>
          <w:numId w:val="13"/>
        </w:numPr>
        <w:ind w:firstLine="480"/>
        <w:rPr>
          <w:rFonts w:hint="eastAsia" w:ascii="宋体" w:hAnsi="宋体" w:cs="仿宋"/>
        </w:rPr>
      </w:pPr>
      <w:r>
        <w:rPr>
          <w:rFonts w:hint="eastAsia" w:ascii="宋体" w:hAnsi="宋体" w:cs="仿宋"/>
        </w:rPr>
        <w:t>可下钻到员工详细档案信息</w:t>
      </w:r>
    </w:p>
    <w:p w14:paraId="6E0296F4">
      <w:pPr>
        <w:pStyle w:val="5"/>
        <w:numPr>
          <w:ilvl w:val="2"/>
          <w:numId w:val="8"/>
        </w:numPr>
      </w:pPr>
      <w:bookmarkStart w:id="172" w:name="_Toc167878547"/>
      <w:r>
        <w:rPr>
          <w:rFonts w:hint="eastAsia"/>
        </w:rPr>
        <w:t>统一财务</w:t>
      </w:r>
      <w:bookmarkEnd w:id="172"/>
    </w:p>
    <w:p w14:paraId="5D52CA2B">
      <w:pPr>
        <w:pStyle w:val="7"/>
        <w:numPr>
          <w:ilvl w:val="0"/>
          <w:numId w:val="14"/>
        </w:numPr>
        <w:ind w:left="0" w:firstLine="480"/>
        <w:rPr>
          <w:rFonts w:hint="eastAsia" w:ascii="宋体" w:hAnsi="宋体" w:cs="仿宋"/>
        </w:rPr>
      </w:pPr>
      <w:r>
        <w:rPr>
          <w:rFonts w:hint="eastAsia" w:ascii="宋体" w:hAnsi="宋体" w:cs="仿宋"/>
        </w:rPr>
        <w:t>统一展示了医共体内的财务报表及整合后的报表；</w:t>
      </w:r>
    </w:p>
    <w:p w14:paraId="08E9756C">
      <w:pPr>
        <w:pStyle w:val="7"/>
        <w:numPr>
          <w:ilvl w:val="0"/>
          <w:numId w:val="14"/>
        </w:numPr>
        <w:ind w:left="0" w:firstLine="480"/>
        <w:rPr>
          <w:rFonts w:hint="eastAsia" w:ascii="宋体" w:hAnsi="宋体" w:cs="仿宋"/>
        </w:rPr>
      </w:pPr>
      <w:r>
        <w:rPr>
          <w:rFonts w:hint="eastAsia" w:ascii="宋体" w:hAnsi="宋体" w:cs="仿宋"/>
        </w:rPr>
        <w:t>支持资产负债表的统计以及负载率、流动比例的指标分析；</w:t>
      </w:r>
    </w:p>
    <w:p w14:paraId="47DE8B92">
      <w:pPr>
        <w:pStyle w:val="7"/>
        <w:numPr>
          <w:ilvl w:val="0"/>
          <w:numId w:val="14"/>
        </w:numPr>
        <w:ind w:left="0" w:firstLine="480"/>
        <w:rPr>
          <w:rFonts w:hint="eastAsia" w:ascii="宋体" w:hAnsi="宋体" w:cs="仿宋"/>
        </w:rPr>
      </w:pPr>
      <w:r>
        <w:rPr>
          <w:rFonts w:hint="eastAsia" w:ascii="宋体" w:hAnsi="宋体" w:cs="仿宋"/>
        </w:rPr>
        <w:t>支持现金流量表的统计以及现金流量、流出流入的指标分析；</w:t>
      </w:r>
    </w:p>
    <w:p w14:paraId="57D943B8">
      <w:pPr>
        <w:pStyle w:val="7"/>
        <w:numPr>
          <w:ilvl w:val="0"/>
          <w:numId w:val="14"/>
        </w:numPr>
        <w:ind w:left="0" w:firstLine="480"/>
        <w:rPr>
          <w:rFonts w:hint="eastAsia" w:ascii="宋体" w:hAnsi="宋体" w:cs="仿宋"/>
        </w:rPr>
      </w:pPr>
      <w:r>
        <w:rPr>
          <w:rFonts w:hint="eastAsia" w:ascii="宋体" w:hAnsi="宋体" w:cs="仿宋"/>
        </w:rPr>
        <w:t>支持收入费用表的统计以及收入分布、年度收入的指标分析；</w:t>
      </w:r>
    </w:p>
    <w:p w14:paraId="00C90CED">
      <w:pPr>
        <w:pStyle w:val="5"/>
        <w:numPr>
          <w:ilvl w:val="2"/>
          <w:numId w:val="8"/>
        </w:numPr>
      </w:pPr>
      <w:bookmarkStart w:id="173" w:name="_Toc167878548"/>
      <w:r>
        <w:rPr>
          <w:rFonts w:hint="eastAsia"/>
        </w:rPr>
        <w:t>统一固定资产/设备</w:t>
      </w:r>
      <w:bookmarkEnd w:id="173"/>
    </w:p>
    <w:p w14:paraId="75753D82">
      <w:pPr>
        <w:pStyle w:val="7"/>
        <w:numPr>
          <w:ilvl w:val="0"/>
          <w:numId w:val="15"/>
        </w:numPr>
        <w:ind w:left="0" w:firstLine="480"/>
        <w:rPr>
          <w:rFonts w:hint="eastAsia" w:ascii="宋体" w:hAnsi="宋体" w:cs="仿宋"/>
          <w:szCs w:val="24"/>
        </w:rPr>
      </w:pPr>
      <w:r>
        <w:rPr>
          <w:rFonts w:hint="eastAsia" w:ascii="宋体" w:hAnsi="宋体" w:cs="仿宋"/>
          <w:szCs w:val="24"/>
        </w:rPr>
        <w:t>各医院资产分类统计、分析</w:t>
      </w:r>
    </w:p>
    <w:p w14:paraId="2D39C132">
      <w:pPr>
        <w:pStyle w:val="7"/>
        <w:numPr>
          <w:ilvl w:val="0"/>
          <w:numId w:val="15"/>
        </w:numPr>
        <w:ind w:left="0" w:firstLine="480"/>
        <w:rPr>
          <w:rFonts w:hint="eastAsia" w:ascii="宋体" w:hAnsi="宋体" w:cs="仿宋"/>
          <w:szCs w:val="24"/>
        </w:rPr>
      </w:pPr>
      <w:r>
        <w:rPr>
          <w:rFonts w:hint="eastAsia" w:ascii="宋体" w:hAnsi="宋体" w:cs="仿宋"/>
          <w:szCs w:val="24"/>
        </w:rPr>
        <w:t>各医院按设备金额区间进行统计、分析</w:t>
      </w:r>
    </w:p>
    <w:p w14:paraId="1D8055BA">
      <w:pPr>
        <w:pStyle w:val="7"/>
        <w:numPr>
          <w:ilvl w:val="0"/>
          <w:numId w:val="15"/>
        </w:numPr>
        <w:ind w:left="0" w:firstLine="480"/>
        <w:rPr>
          <w:rFonts w:hint="eastAsia" w:ascii="宋体" w:hAnsi="宋体" w:cs="仿宋"/>
          <w:szCs w:val="24"/>
        </w:rPr>
      </w:pPr>
      <w:r>
        <w:rPr>
          <w:rFonts w:hint="eastAsia" w:ascii="宋体" w:hAnsi="宋体" w:cs="仿宋"/>
          <w:szCs w:val="24"/>
        </w:rPr>
        <w:t>各医院明细分析</w:t>
      </w:r>
    </w:p>
    <w:p w14:paraId="3D28821A">
      <w:pPr>
        <w:pStyle w:val="7"/>
        <w:numPr>
          <w:ilvl w:val="0"/>
          <w:numId w:val="15"/>
        </w:numPr>
        <w:ind w:left="0" w:firstLine="480"/>
        <w:rPr>
          <w:rFonts w:hint="eastAsia" w:ascii="宋体" w:hAnsi="宋体" w:cs="仿宋"/>
          <w:szCs w:val="24"/>
        </w:rPr>
      </w:pPr>
      <w:r>
        <w:rPr>
          <w:rFonts w:hint="eastAsia" w:ascii="宋体" w:hAnsi="宋体" w:cs="仿宋"/>
          <w:szCs w:val="24"/>
        </w:rPr>
        <w:t>各医院资产查看</w:t>
      </w:r>
    </w:p>
    <w:p w14:paraId="30ED169E">
      <w:pPr>
        <w:pStyle w:val="7"/>
        <w:numPr>
          <w:ilvl w:val="0"/>
          <w:numId w:val="15"/>
        </w:numPr>
        <w:ind w:left="0" w:firstLine="480"/>
        <w:rPr>
          <w:rFonts w:hint="eastAsia" w:ascii="宋体" w:hAnsi="宋体" w:cs="仿宋"/>
          <w:szCs w:val="24"/>
        </w:rPr>
      </w:pPr>
      <w:r>
        <w:rPr>
          <w:rFonts w:hint="eastAsia" w:ascii="宋体" w:hAnsi="宋体" w:cs="仿宋"/>
          <w:szCs w:val="24"/>
        </w:rPr>
        <w:t>各医院单分类分布统计、分析</w:t>
      </w:r>
    </w:p>
    <w:p w14:paraId="2111121F">
      <w:pPr>
        <w:pStyle w:val="7"/>
        <w:numPr>
          <w:ilvl w:val="0"/>
          <w:numId w:val="15"/>
        </w:numPr>
        <w:ind w:left="0" w:firstLine="480"/>
        <w:rPr>
          <w:rFonts w:hint="eastAsia" w:ascii="宋体" w:hAnsi="宋体" w:cs="仿宋"/>
          <w:szCs w:val="24"/>
        </w:rPr>
      </w:pPr>
      <w:r>
        <w:rPr>
          <w:rFonts w:hint="eastAsia" w:ascii="宋体" w:hAnsi="宋体" w:cs="仿宋"/>
          <w:szCs w:val="24"/>
        </w:rPr>
        <w:t>各医院资金来源分布</w:t>
      </w:r>
    </w:p>
    <w:p w14:paraId="7B6D3598">
      <w:pPr>
        <w:pStyle w:val="5"/>
        <w:numPr>
          <w:ilvl w:val="2"/>
          <w:numId w:val="8"/>
        </w:numPr>
      </w:pPr>
      <w:bookmarkStart w:id="174" w:name="_Toc167878549"/>
      <w:r>
        <w:rPr>
          <w:rFonts w:hint="eastAsia"/>
        </w:rPr>
        <w:t>统一物资</w:t>
      </w:r>
      <w:bookmarkEnd w:id="174"/>
    </w:p>
    <w:p w14:paraId="3A6F5AE1">
      <w:pPr>
        <w:ind w:firstLine="640"/>
        <w:rPr>
          <w:rFonts w:hint="eastAsia" w:ascii="宋体" w:hAnsi="宋体" w:cs="仿宋"/>
          <w:bCs/>
        </w:rPr>
      </w:pPr>
      <w:r>
        <w:rPr>
          <w:rFonts w:hint="eastAsia" w:ascii="宋体" w:hAnsi="宋体" w:cs="仿宋"/>
          <w:bCs/>
        </w:rPr>
        <w:t>对区域内的使用耗材进行多维度的分析。</w:t>
      </w:r>
    </w:p>
    <w:p w14:paraId="5A0A8AC2">
      <w:pPr>
        <w:numPr>
          <w:ilvl w:val="0"/>
          <w:numId w:val="16"/>
        </w:numPr>
        <w:ind w:left="0" w:firstLine="480" w:firstLineChars="0"/>
        <w:jc w:val="both"/>
        <w:rPr>
          <w:rFonts w:hint="eastAsia" w:ascii="宋体" w:hAnsi="宋体" w:cs="仿宋"/>
        </w:rPr>
      </w:pPr>
      <w:r>
        <w:rPr>
          <w:rFonts w:hint="eastAsia" w:ascii="宋体" w:hAnsi="宋体" w:cs="仿宋"/>
        </w:rPr>
        <w:t>各医院分类领用统计及明细</w:t>
      </w:r>
    </w:p>
    <w:p w14:paraId="72CBCDAE">
      <w:pPr>
        <w:numPr>
          <w:ilvl w:val="0"/>
          <w:numId w:val="16"/>
        </w:numPr>
        <w:ind w:left="0" w:firstLine="480" w:firstLineChars="0"/>
        <w:jc w:val="both"/>
        <w:rPr>
          <w:rFonts w:hint="eastAsia" w:ascii="宋体" w:hAnsi="宋体" w:cs="仿宋"/>
        </w:rPr>
      </w:pPr>
      <w:r>
        <w:rPr>
          <w:rFonts w:hint="eastAsia" w:ascii="宋体" w:hAnsi="宋体" w:cs="仿宋"/>
        </w:rPr>
        <w:t>某个分类各医院的领用情况对比</w:t>
      </w:r>
    </w:p>
    <w:p w14:paraId="7DD2233F">
      <w:pPr>
        <w:numPr>
          <w:ilvl w:val="0"/>
          <w:numId w:val="16"/>
        </w:numPr>
        <w:ind w:left="0" w:firstLine="480" w:firstLineChars="0"/>
        <w:jc w:val="both"/>
        <w:rPr>
          <w:rFonts w:hint="eastAsia" w:ascii="宋体" w:hAnsi="宋体" w:cs="仿宋"/>
        </w:rPr>
      </w:pPr>
      <w:r>
        <w:rPr>
          <w:rFonts w:hint="eastAsia" w:ascii="宋体" w:hAnsi="宋体" w:cs="仿宋"/>
        </w:rPr>
        <w:t>各医院近半年采购量的对比统计分析</w:t>
      </w:r>
    </w:p>
    <w:p w14:paraId="1671A97B">
      <w:pPr>
        <w:numPr>
          <w:ilvl w:val="0"/>
          <w:numId w:val="16"/>
        </w:numPr>
        <w:ind w:left="0" w:firstLine="480" w:firstLineChars="0"/>
        <w:jc w:val="both"/>
        <w:rPr>
          <w:rFonts w:hint="eastAsia" w:ascii="宋体" w:hAnsi="宋体" w:cs="仿宋"/>
        </w:rPr>
      </w:pPr>
      <w:r>
        <w:rPr>
          <w:rFonts w:hint="eastAsia" w:ascii="宋体" w:hAnsi="宋体" w:cs="仿宋"/>
        </w:rPr>
        <w:t>各医院汇总增减报表</w:t>
      </w:r>
    </w:p>
    <w:p w14:paraId="641D00B2">
      <w:pPr>
        <w:numPr>
          <w:ilvl w:val="0"/>
          <w:numId w:val="16"/>
        </w:numPr>
        <w:ind w:left="0" w:firstLine="480" w:firstLineChars="0"/>
        <w:jc w:val="both"/>
        <w:rPr>
          <w:rFonts w:hint="eastAsia" w:ascii="宋体" w:hAnsi="宋体" w:cs="仿宋"/>
        </w:rPr>
      </w:pPr>
      <w:r>
        <w:rPr>
          <w:rFonts w:hint="eastAsia" w:ascii="宋体" w:hAnsi="宋体" w:cs="仿宋"/>
        </w:rPr>
        <w:t>各医院的供应商入库汇总</w:t>
      </w:r>
    </w:p>
    <w:p w14:paraId="05BBC439">
      <w:pPr>
        <w:numPr>
          <w:ilvl w:val="0"/>
          <w:numId w:val="16"/>
        </w:numPr>
        <w:ind w:left="0" w:firstLine="480" w:firstLineChars="0"/>
        <w:jc w:val="both"/>
        <w:rPr>
          <w:rFonts w:hint="eastAsia" w:ascii="宋体" w:hAnsi="宋体" w:cs="仿宋"/>
        </w:rPr>
      </w:pPr>
      <w:r>
        <w:rPr>
          <w:rFonts w:hint="eastAsia" w:ascii="宋体" w:hAnsi="宋体" w:cs="仿宋"/>
        </w:rPr>
        <w:t>各医院的分类入库对比</w:t>
      </w:r>
    </w:p>
    <w:p w14:paraId="3B64AD4C">
      <w:pPr>
        <w:numPr>
          <w:ilvl w:val="0"/>
          <w:numId w:val="16"/>
        </w:numPr>
        <w:ind w:left="0" w:firstLine="480" w:firstLineChars="0"/>
        <w:jc w:val="both"/>
        <w:rPr>
          <w:rFonts w:hint="eastAsia" w:ascii="宋体" w:hAnsi="宋体" w:cs="仿宋"/>
        </w:rPr>
      </w:pPr>
      <w:r>
        <w:rPr>
          <w:rFonts w:hint="eastAsia" w:ascii="宋体" w:hAnsi="宋体" w:cs="仿宋"/>
        </w:rPr>
        <w:t>各医院的科室领用报表</w:t>
      </w:r>
    </w:p>
    <w:p w14:paraId="383C3FC2">
      <w:pPr>
        <w:numPr>
          <w:ilvl w:val="0"/>
          <w:numId w:val="16"/>
        </w:numPr>
        <w:ind w:left="0" w:firstLine="480" w:firstLineChars="0"/>
        <w:jc w:val="both"/>
        <w:rPr>
          <w:rFonts w:hint="eastAsia" w:ascii="宋体" w:hAnsi="宋体" w:cs="仿宋"/>
        </w:rPr>
      </w:pPr>
      <w:r>
        <w:rPr>
          <w:rFonts w:hint="eastAsia" w:ascii="宋体" w:hAnsi="宋体" w:cs="仿宋"/>
        </w:rPr>
        <w:t>各医院的出入库明细</w:t>
      </w:r>
    </w:p>
    <w:p w14:paraId="45C6CBC1">
      <w:pPr>
        <w:pStyle w:val="4"/>
        <w:numPr>
          <w:ilvl w:val="1"/>
          <w:numId w:val="8"/>
        </w:numPr>
      </w:pPr>
      <w:bookmarkStart w:id="175" w:name="_Toc167878553"/>
      <w:r>
        <w:rPr>
          <w:rFonts w:hint="eastAsia"/>
        </w:rPr>
        <w:t>中医药创新服务</w:t>
      </w:r>
      <w:bookmarkEnd w:id="175"/>
    </w:p>
    <w:p w14:paraId="0DDF3870">
      <w:pPr>
        <w:ind w:firstLine="0" w:firstLineChars="0"/>
      </w:pPr>
      <w:r>
        <w:rPr>
          <w:rFonts w:hint="eastAsia"/>
        </w:rPr>
        <w:t>对区域内的中医人员数据进行多维度的分析，如中医人才占比、中医人才分布、中医人才职称分析等。展示医院的中医人才列表并且可下钻查看明细。</w:t>
      </w:r>
    </w:p>
    <w:p w14:paraId="0510557C">
      <w:pPr>
        <w:pStyle w:val="5"/>
        <w:numPr>
          <w:ilvl w:val="2"/>
          <w:numId w:val="8"/>
        </w:numPr>
      </w:pPr>
      <w:bookmarkStart w:id="176" w:name="_Toc167878554"/>
      <w:r>
        <w:rPr>
          <w:rFonts w:hint="eastAsia"/>
        </w:rPr>
        <w:t>统一中医药人员管理</w:t>
      </w:r>
      <w:bookmarkEnd w:id="176"/>
      <w:r>
        <w:rPr>
          <w:rFonts w:hint="eastAsia"/>
        </w:rPr>
        <w:tab/>
      </w:r>
    </w:p>
    <w:p w14:paraId="3FC0518B">
      <w:pPr>
        <w:ind w:firstLine="640"/>
      </w:pPr>
      <w:r>
        <w:rPr>
          <w:rFonts w:hint="eastAsia"/>
        </w:rPr>
        <w:t>对区域内的中医人员数据进行多维度的分析，如中医人才占比、中医人才分布、中医人才职称分析等。展示医院的中医人才列表并且可下钻查看明细。</w:t>
      </w:r>
    </w:p>
    <w:p w14:paraId="649967BA">
      <w:pPr>
        <w:pStyle w:val="5"/>
        <w:numPr>
          <w:ilvl w:val="2"/>
          <w:numId w:val="8"/>
        </w:numPr>
      </w:pPr>
      <w:bookmarkStart w:id="177" w:name="_Toc167878555"/>
      <w:r>
        <w:rPr>
          <w:rFonts w:hint="eastAsia"/>
        </w:rPr>
        <w:t>统一中药管理</w:t>
      </w:r>
      <w:bookmarkEnd w:id="177"/>
      <w:r>
        <w:rPr>
          <w:rFonts w:hint="eastAsia"/>
        </w:rPr>
        <w:tab/>
      </w:r>
    </w:p>
    <w:p w14:paraId="28C3F46C">
      <w:pPr>
        <w:ind w:firstLine="0" w:firstLineChars="0"/>
      </w:pPr>
      <w:r>
        <w:rPr>
          <w:rFonts w:hint="eastAsia"/>
        </w:rPr>
        <w:t>对区域内的中药数据进行多维度的分析，如中药处方分析、中药代煎分析、中药收入分析。</w:t>
      </w:r>
    </w:p>
    <w:p w14:paraId="3FBF6ECC">
      <w:pPr>
        <w:ind w:firstLine="0" w:firstLineChars="0"/>
      </w:pPr>
      <w:r>
        <w:rPr>
          <w:rFonts w:hint="eastAsia"/>
        </w:rPr>
        <w:t>(1)</w:t>
      </w:r>
      <w:r>
        <w:rPr>
          <w:rFonts w:hint="eastAsia"/>
        </w:rPr>
        <w:tab/>
      </w:r>
      <w:r>
        <w:rPr>
          <w:rFonts w:hint="eastAsia"/>
        </w:rPr>
        <w:t>展示医院的中药使用情况列表。</w:t>
      </w:r>
    </w:p>
    <w:p w14:paraId="5CDE3CBB">
      <w:pPr>
        <w:ind w:firstLine="0" w:firstLineChars="0"/>
      </w:pPr>
      <w:r>
        <w:rPr>
          <w:rFonts w:hint="eastAsia"/>
        </w:rPr>
        <w:t>(2)</w:t>
      </w:r>
      <w:r>
        <w:rPr>
          <w:rFonts w:hint="eastAsia"/>
        </w:rPr>
        <w:tab/>
      </w:r>
      <w:r>
        <w:rPr>
          <w:rFonts w:hint="eastAsia"/>
        </w:rPr>
        <w:t>下钻查看该药品各个医院的中药使用情况图、科室的使用情况图、科室使用情况列表。</w:t>
      </w:r>
    </w:p>
    <w:p w14:paraId="2F5BB832">
      <w:pPr>
        <w:pStyle w:val="5"/>
        <w:numPr>
          <w:ilvl w:val="2"/>
          <w:numId w:val="8"/>
        </w:numPr>
      </w:pPr>
      <w:bookmarkStart w:id="178" w:name="_Toc167878556"/>
      <w:r>
        <w:rPr>
          <w:rFonts w:hint="eastAsia"/>
        </w:rPr>
        <w:t>统一中医业务管理</w:t>
      </w:r>
      <w:bookmarkEnd w:id="178"/>
      <w:r>
        <w:rPr>
          <w:rFonts w:hint="eastAsia"/>
        </w:rPr>
        <w:tab/>
      </w:r>
    </w:p>
    <w:p w14:paraId="317D40F4">
      <w:pPr>
        <w:ind w:firstLine="0" w:firstLineChars="0"/>
      </w:pPr>
      <w:r>
        <w:rPr>
          <w:rFonts w:hint="eastAsia"/>
        </w:rPr>
        <w:t>对区域内的病种数据进行多维度的分析，如病种分布、病种类型占比、中医治疗比例分析。展示病种的详细信息列表，如自付比例、各费用占比、平均住院天数等。</w:t>
      </w:r>
    </w:p>
    <w:p w14:paraId="46DF4E8D">
      <w:pPr>
        <w:pStyle w:val="5"/>
        <w:numPr>
          <w:ilvl w:val="2"/>
          <w:numId w:val="8"/>
        </w:numPr>
      </w:pPr>
      <w:bookmarkStart w:id="179" w:name="_Toc167878558"/>
      <w:r>
        <w:rPr>
          <w:rFonts w:hint="eastAsia"/>
        </w:rPr>
        <w:t>统一中医药信息化管理</w:t>
      </w:r>
      <w:bookmarkEnd w:id="179"/>
      <w:r>
        <w:rPr>
          <w:rFonts w:hint="eastAsia"/>
        </w:rPr>
        <w:tab/>
      </w:r>
    </w:p>
    <w:p w14:paraId="3CBFB70D">
      <w:pPr>
        <w:ind w:firstLine="0" w:firstLineChars="0"/>
      </w:pPr>
      <w:r>
        <w:rPr>
          <w:rFonts w:hint="eastAsia"/>
        </w:rPr>
        <w:t>对区域内的中医代煎、会诊数据进行多维度的分析。</w:t>
      </w:r>
    </w:p>
    <w:p w14:paraId="153583E8">
      <w:pPr>
        <w:ind w:firstLine="0" w:firstLineChars="0"/>
      </w:pPr>
      <w:r>
        <w:rPr>
          <w:rFonts w:hint="eastAsia"/>
        </w:rPr>
        <w:t>(1)</w:t>
      </w:r>
      <w:r>
        <w:rPr>
          <w:rFonts w:hint="eastAsia"/>
        </w:rPr>
        <w:tab/>
      </w:r>
      <w:r>
        <w:rPr>
          <w:rFonts w:hint="eastAsia"/>
        </w:rPr>
        <w:t>中医代煎配送中心：机构分布、按年分析、按科室分析表格。</w:t>
      </w:r>
    </w:p>
    <w:p w14:paraId="5EBBFF1E">
      <w:pPr>
        <w:ind w:firstLine="0" w:firstLineChars="0"/>
      </w:pPr>
      <w:r>
        <w:rPr>
          <w:rFonts w:hint="eastAsia"/>
        </w:rPr>
        <w:t>(2)</w:t>
      </w:r>
      <w:r>
        <w:rPr>
          <w:rFonts w:hint="eastAsia"/>
        </w:rPr>
        <w:tab/>
      </w:r>
      <w:r>
        <w:rPr>
          <w:rFonts w:hint="eastAsia"/>
        </w:rPr>
        <w:t>中医远程会诊中心：申请机构分布图、参与医生分析、按科室分析表格。</w:t>
      </w:r>
    </w:p>
    <w:p w14:paraId="420158C2">
      <w:pPr>
        <w:pStyle w:val="4"/>
        <w:numPr>
          <w:ilvl w:val="1"/>
          <w:numId w:val="8"/>
        </w:numPr>
      </w:pPr>
      <w:bookmarkStart w:id="180" w:name="_Toc167878563"/>
      <w:r>
        <w:rPr>
          <w:rFonts w:hint="eastAsia"/>
        </w:rPr>
        <w:t>资源共享中心</w:t>
      </w:r>
      <w:bookmarkEnd w:id="180"/>
    </w:p>
    <w:p w14:paraId="1848C4F1">
      <w:pPr>
        <w:pStyle w:val="5"/>
        <w:numPr>
          <w:ilvl w:val="2"/>
          <w:numId w:val="8"/>
        </w:numPr>
      </w:pPr>
      <w:bookmarkStart w:id="181" w:name="_Toc167878564"/>
      <w:r>
        <w:rPr>
          <w:rFonts w:hint="eastAsia"/>
        </w:rPr>
        <w:t>临床检验中心</w:t>
      </w:r>
      <w:bookmarkEnd w:id="181"/>
    </w:p>
    <w:p w14:paraId="5ED722C2">
      <w:pPr>
        <w:ind w:firstLine="640"/>
      </w:pPr>
      <w:r>
        <w:rPr>
          <w:rFonts w:hint="eastAsia"/>
        </w:rPr>
        <w:tab/>
      </w:r>
      <w:r>
        <w:rPr>
          <w:rFonts w:hint="eastAsia"/>
        </w:rPr>
        <w:t>对区域内的检验数据进行多维度的分析，如检验类型分析、病人类型分析、检验报告按年分析等。</w:t>
      </w:r>
    </w:p>
    <w:p w14:paraId="524949FF">
      <w:pPr>
        <w:ind w:firstLine="640"/>
      </w:pPr>
      <w:r>
        <w:rPr>
          <w:rFonts w:hint="eastAsia"/>
        </w:rPr>
        <w:t>(1)</w:t>
      </w:r>
      <w:r>
        <w:rPr>
          <w:rFonts w:hint="eastAsia"/>
        </w:rPr>
        <w:tab/>
      </w:r>
      <w:r>
        <w:rPr>
          <w:rFonts w:hint="eastAsia"/>
        </w:rPr>
        <w:t>展示医院及基层检验报告的信息列表，并且可下钻打开检验报告。</w:t>
      </w:r>
    </w:p>
    <w:p w14:paraId="19B799D9">
      <w:pPr>
        <w:ind w:firstLine="640"/>
      </w:pPr>
      <w:r>
        <w:rPr>
          <w:rFonts w:hint="eastAsia"/>
        </w:rPr>
        <w:t>(2)</w:t>
      </w:r>
      <w:r>
        <w:rPr>
          <w:rFonts w:hint="eastAsia"/>
        </w:rPr>
        <w:tab/>
      </w:r>
      <w:r>
        <w:rPr>
          <w:rFonts w:hint="eastAsia"/>
        </w:rPr>
        <w:t>展示各院区报告数量的统计以及占比。</w:t>
      </w:r>
    </w:p>
    <w:p w14:paraId="51FDB6AB">
      <w:pPr>
        <w:pStyle w:val="5"/>
        <w:numPr>
          <w:ilvl w:val="2"/>
          <w:numId w:val="8"/>
        </w:numPr>
      </w:pPr>
      <w:bookmarkStart w:id="182" w:name="_Toc167878565"/>
      <w:r>
        <w:rPr>
          <w:rFonts w:hint="eastAsia"/>
        </w:rPr>
        <w:t>医学影像中心</w:t>
      </w:r>
      <w:bookmarkEnd w:id="182"/>
      <w:r>
        <w:rPr>
          <w:rFonts w:hint="eastAsia"/>
        </w:rPr>
        <w:tab/>
      </w:r>
    </w:p>
    <w:p w14:paraId="0098EE48">
      <w:pPr>
        <w:ind w:firstLine="640"/>
      </w:pPr>
      <w:r>
        <w:rPr>
          <w:rFonts w:hint="eastAsia"/>
        </w:rPr>
        <w:t>对区域内的检验数据进行多维度的分析，如影像类型分析、病人类型分析、影像报告按年分析等。</w:t>
      </w:r>
    </w:p>
    <w:p w14:paraId="36A1DE40">
      <w:pPr>
        <w:ind w:firstLine="640"/>
      </w:pPr>
      <w:r>
        <w:rPr>
          <w:rFonts w:hint="eastAsia"/>
        </w:rPr>
        <w:t>(1)</w:t>
      </w:r>
      <w:r>
        <w:rPr>
          <w:rFonts w:hint="eastAsia"/>
        </w:rPr>
        <w:tab/>
      </w:r>
      <w:r>
        <w:rPr>
          <w:rFonts w:hint="eastAsia"/>
        </w:rPr>
        <w:t>展示医院及基层影像报告的信息列表，并且可下钻打开影像报告。</w:t>
      </w:r>
    </w:p>
    <w:p w14:paraId="3A934352">
      <w:pPr>
        <w:ind w:firstLine="640"/>
      </w:pPr>
      <w:r>
        <w:rPr>
          <w:rFonts w:hint="eastAsia"/>
        </w:rPr>
        <w:t>(2)</w:t>
      </w:r>
      <w:r>
        <w:rPr>
          <w:rFonts w:hint="eastAsia"/>
        </w:rPr>
        <w:tab/>
      </w:r>
      <w:r>
        <w:rPr>
          <w:rFonts w:hint="eastAsia"/>
        </w:rPr>
        <w:t>展示各院区报告数量的统计以及占比。</w:t>
      </w:r>
    </w:p>
    <w:p w14:paraId="74DF94B6">
      <w:pPr>
        <w:pStyle w:val="5"/>
        <w:numPr>
          <w:ilvl w:val="2"/>
          <w:numId w:val="8"/>
        </w:numPr>
      </w:pPr>
      <w:bookmarkStart w:id="183" w:name="_Toc167878566"/>
      <w:r>
        <w:rPr>
          <w:rFonts w:hint="eastAsia"/>
        </w:rPr>
        <w:t>病理检验中心</w:t>
      </w:r>
      <w:bookmarkEnd w:id="183"/>
      <w:r>
        <w:rPr>
          <w:rFonts w:hint="eastAsia"/>
        </w:rPr>
        <w:tab/>
      </w:r>
    </w:p>
    <w:p w14:paraId="62301A90">
      <w:pPr>
        <w:ind w:firstLine="640"/>
      </w:pPr>
      <w:r>
        <w:rPr>
          <w:rFonts w:hint="eastAsia"/>
        </w:rPr>
        <w:t>对区域内的病理数据进行多维度的分析，如病人类型分析、病理报告按年分析等。</w:t>
      </w:r>
    </w:p>
    <w:p w14:paraId="5600ACEC">
      <w:pPr>
        <w:ind w:firstLine="640"/>
      </w:pPr>
      <w:r>
        <w:rPr>
          <w:rFonts w:hint="eastAsia"/>
        </w:rPr>
        <w:t>(1)</w:t>
      </w:r>
      <w:r>
        <w:rPr>
          <w:rFonts w:hint="eastAsia"/>
        </w:rPr>
        <w:tab/>
      </w:r>
      <w:r>
        <w:rPr>
          <w:rFonts w:hint="eastAsia"/>
        </w:rPr>
        <w:t>展示医院及基层病理报告的信息列表，并且可下钻打开病理报告。</w:t>
      </w:r>
    </w:p>
    <w:p w14:paraId="78FC256E">
      <w:pPr>
        <w:ind w:firstLine="640"/>
      </w:pPr>
      <w:r>
        <w:rPr>
          <w:rFonts w:hint="eastAsia"/>
        </w:rPr>
        <w:t>(2)</w:t>
      </w:r>
      <w:r>
        <w:rPr>
          <w:rFonts w:hint="eastAsia"/>
        </w:rPr>
        <w:tab/>
      </w:r>
      <w:r>
        <w:rPr>
          <w:rFonts w:hint="eastAsia"/>
        </w:rPr>
        <w:t>展示各院区等报告数量的统计以及占比。</w:t>
      </w:r>
    </w:p>
    <w:p w14:paraId="06BA83C5">
      <w:pPr>
        <w:pStyle w:val="5"/>
        <w:numPr>
          <w:ilvl w:val="2"/>
          <w:numId w:val="8"/>
        </w:numPr>
      </w:pPr>
      <w:bookmarkStart w:id="184" w:name="_Toc167878567"/>
      <w:r>
        <w:rPr>
          <w:rFonts w:hint="eastAsia"/>
        </w:rPr>
        <w:t>心电诊断中心</w:t>
      </w:r>
      <w:bookmarkEnd w:id="184"/>
    </w:p>
    <w:p w14:paraId="4891226C">
      <w:pPr>
        <w:ind w:firstLine="640"/>
      </w:pPr>
      <w:r>
        <w:rPr>
          <w:rFonts w:hint="eastAsia"/>
        </w:rPr>
        <w:tab/>
      </w:r>
      <w:r>
        <w:rPr>
          <w:rFonts w:hint="eastAsia"/>
        </w:rPr>
        <w:t>对区域内的心电诊断进行多维度的分析，如检查项目分析、病人类型分析、心电报告按年分析等。</w:t>
      </w:r>
    </w:p>
    <w:p w14:paraId="2C60C62E">
      <w:pPr>
        <w:ind w:firstLine="640"/>
      </w:pPr>
      <w:r>
        <w:rPr>
          <w:rFonts w:hint="eastAsia"/>
        </w:rPr>
        <w:t>(1)</w:t>
      </w:r>
      <w:r>
        <w:rPr>
          <w:rFonts w:hint="eastAsia"/>
        </w:rPr>
        <w:tab/>
      </w:r>
      <w:r>
        <w:rPr>
          <w:rFonts w:hint="eastAsia"/>
        </w:rPr>
        <w:t>展示医院及基层心电诊断的信息列表，并且可下钻打开心电报告。</w:t>
      </w:r>
    </w:p>
    <w:p w14:paraId="0397EC64">
      <w:pPr>
        <w:ind w:firstLine="640"/>
      </w:pPr>
      <w:r>
        <w:rPr>
          <w:rFonts w:hint="eastAsia"/>
        </w:rPr>
        <w:t>(2)</w:t>
      </w:r>
      <w:r>
        <w:rPr>
          <w:rFonts w:hint="eastAsia"/>
        </w:rPr>
        <w:tab/>
      </w:r>
      <w:r>
        <w:rPr>
          <w:rFonts w:hint="eastAsia"/>
        </w:rPr>
        <w:t>展示各院区报告数量的统计以及占比。</w:t>
      </w:r>
    </w:p>
    <w:p w14:paraId="7C297655">
      <w:pPr>
        <w:pStyle w:val="5"/>
        <w:numPr>
          <w:ilvl w:val="2"/>
          <w:numId w:val="8"/>
        </w:numPr>
      </w:pPr>
      <w:bookmarkStart w:id="185" w:name="_Toc167878569"/>
      <w:r>
        <w:rPr>
          <w:rFonts w:hint="eastAsia"/>
        </w:rPr>
        <w:t>双向转诊</w:t>
      </w:r>
      <w:bookmarkEnd w:id="185"/>
      <w:r>
        <w:rPr>
          <w:rFonts w:hint="eastAsia"/>
        </w:rPr>
        <w:tab/>
      </w:r>
    </w:p>
    <w:p w14:paraId="78960173">
      <w:pPr>
        <w:ind w:firstLine="640"/>
      </w:pPr>
      <w:r>
        <w:rPr>
          <w:rFonts w:hint="eastAsia"/>
        </w:rPr>
        <w:t>(1)</w:t>
      </w:r>
      <w:r>
        <w:rPr>
          <w:rFonts w:hint="eastAsia"/>
        </w:rPr>
        <w:tab/>
      </w:r>
      <w:r>
        <w:rPr>
          <w:rFonts w:hint="eastAsia"/>
        </w:rPr>
        <w:t>地图上实时展示转诊的动态数据</w:t>
      </w:r>
    </w:p>
    <w:p w14:paraId="4458EDE2">
      <w:pPr>
        <w:ind w:firstLine="640"/>
      </w:pPr>
      <w:r>
        <w:rPr>
          <w:rFonts w:hint="eastAsia"/>
        </w:rPr>
        <w:t>(2)</w:t>
      </w:r>
      <w:r>
        <w:rPr>
          <w:rFonts w:hint="eastAsia"/>
        </w:rPr>
        <w:tab/>
      </w:r>
      <w:r>
        <w:rPr>
          <w:rFonts w:hint="eastAsia"/>
        </w:rPr>
        <w:t>实时数据的监测，本院上转、市级下转、基层上转</w:t>
      </w:r>
    </w:p>
    <w:p w14:paraId="344528F2">
      <w:pPr>
        <w:ind w:firstLine="640"/>
      </w:pPr>
      <w:r>
        <w:rPr>
          <w:rFonts w:hint="eastAsia"/>
        </w:rPr>
        <w:t>(3)</w:t>
      </w:r>
      <w:r>
        <w:rPr>
          <w:rFonts w:hint="eastAsia"/>
        </w:rPr>
        <w:tab/>
      </w:r>
      <w:r>
        <w:rPr>
          <w:rFonts w:hint="eastAsia"/>
        </w:rPr>
        <w:t>转诊实时监控</w:t>
      </w:r>
    </w:p>
    <w:p w14:paraId="01D60790">
      <w:pPr>
        <w:pStyle w:val="3"/>
        <w:numPr>
          <w:ilvl w:val="0"/>
          <w:numId w:val="4"/>
        </w:numPr>
        <w:ind w:firstLine="883"/>
        <w:jc w:val="center"/>
      </w:pPr>
      <w:r>
        <w:rPr>
          <w:rFonts w:hint="eastAsia"/>
        </w:rPr>
        <w:t>基层业务系统</w:t>
      </w:r>
    </w:p>
    <w:p w14:paraId="318956BA">
      <w:pPr>
        <w:pStyle w:val="4"/>
        <w:numPr>
          <w:ilvl w:val="1"/>
          <w:numId w:val="17"/>
        </w:numPr>
        <w:rPr>
          <w:szCs w:val="22"/>
        </w:rPr>
      </w:pPr>
      <w:r>
        <w:rPr>
          <w:rFonts w:hint="eastAsia"/>
          <w:szCs w:val="22"/>
        </w:rPr>
        <w:t>HIS系统</w:t>
      </w:r>
    </w:p>
    <w:p w14:paraId="09CAB471">
      <w:pPr>
        <w:pStyle w:val="5"/>
        <w:numPr>
          <w:ilvl w:val="2"/>
          <w:numId w:val="8"/>
        </w:numPr>
      </w:pPr>
      <w:r>
        <w:t>门急诊挂号预约管理系统</w:t>
      </w:r>
      <w:r>
        <w:tab/>
      </w:r>
    </w:p>
    <w:p w14:paraId="4F89123A">
      <w:pPr>
        <w:ind w:firstLine="0" w:firstLineChars="0"/>
        <w:rPr>
          <w:b/>
          <w:bCs/>
        </w:rPr>
      </w:pPr>
      <w:r>
        <w:rPr>
          <w:b/>
          <w:bCs/>
        </w:rPr>
        <w:t>门急诊挂号预约管理</w:t>
      </w:r>
      <w:r>
        <w:rPr>
          <w:b/>
          <w:bCs/>
        </w:rPr>
        <w:tab/>
      </w:r>
    </w:p>
    <w:p w14:paraId="68B8009E">
      <w:pPr>
        <w:ind w:firstLine="0" w:firstLineChars="0"/>
      </w:pPr>
      <w:r>
        <w:t>1.病人可以挂在不同门诊出诊的医生。医生无论在那个地方出诊，都能读取不同门诊挂号的病人信息。</w:t>
      </w:r>
    </w:p>
    <w:p w14:paraId="38ABA4C6">
      <w:pPr>
        <w:ind w:firstLine="0" w:firstLineChars="0"/>
      </w:pPr>
      <w:r>
        <w:t>2.通过“一卡通”，实现病人数据准确唯一识别。加快病人诊疗流程，减少病人排队等候时间。</w:t>
      </w:r>
    </w:p>
    <w:p w14:paraId="255C18F4">
      <w:pPr>
        <w:ind w:firstLine="0" w:firstLineChars="0"/>
      </w:pPr>
      <w:r>
        <w:t>3.支持排班和出诊表管理，具有修改和查询及当日出诊情况维护功能；</w:t>
      </w:r>
    </w:p>
    <w:p w14:paraId="528A74A0">
      <w:pPr>
        <w:ind w:firstLine="0" w:firstLineChars="0"/>
      </w:pPr>
      <w:r>
        <w:t>4.支持挂号到号别、科室或医生；</w:t>
      </w:r>
    </w:p>
    <w:p w14:paraId="2E772B62">
      <w:pPr>
        <w:ind w:firstLine="0" w:firstLineChars="0"/>
      </w:pPr>
      <w:r>
        <w:t>5.支持根据不同的挂号类别，设置是否进行限号及限号人次。并设置超号时是否禁止挂号；</w:t>
      </w:r>
    </w:p>
    <w:p w14:paraId="28D0ED37">
      <w:pPr>
        <w:ind w:firstLine="0" w:firstLineChars="0"/>
      </w:pPr>
      <w:r>
        <w:t>6.提供速挂功能，快速提供诊别、科室、号别、医生、生成挂号信息、打印挂号单；</w:t>
      </w:r>
    </w:p>
    <w:p w14:paraId="7FDCB676">
      <w:pPr>
        <w:ind w:firstLine="0" w:firstLineChars="0"/>
      </w:pPr>
      <w:r>
        <w:t>7.支持院内一卡通、免挂号模式，优化就医流程；</w:t>
      </w:r>
    </w:p>
    <w:p w14:paraId="494AFBC6">
      <w:pPr>
        <w:ind w:firstLine="0" w:firstLineChars="0"/>
      </w:pPr>
      <w:r>
        <w:t>8.支持多途径挂号方式，多费别挂号类型，多种支付方式；</w:t>
      </w:r>
    </w:p>
    <w:p w14:paraId="49F6B567">
      <w:pPr>
        <w:ind w:firstLine="0" w:firstLineChars="0"/>
      </w:pPr>
      <w:r>
        <w:t>9.支持节假日的挂号费用、不用时段的挂号费用不同的情况；</w:t>
      </w:r>
    </w:p>
    <w:p w14:paraId="3CAA8AD7">
      <w:pPr>
        <w:ind w:firstLine="0" w:firstLineChars="0"/>
      </w:pPr>
      <w:r>
        <w:t>10.支持挂号综合查询与报表功能，具有门诊病历管理、门急诊挂号收费核算、门急诊病人统计、诊疗卡、病历发放记录及其费用的统计报表功能。</w:t>
      </w:r>
    </w:p>
    <w:p w14:paraId="1F24A2F9">
      <w:pPr>
        <w:pStyle w:val="5"/>
      </w:pPr>
      <w:r>
        <w:t>门急诊计价收费管理系统</w:t>
      </w:r>
      <w:r>
        <w:tab/>
      </w:r>
    </w:p>
    <w:p w14:paraId="7B3FD9D4">
      <w:pPr>
        <w:ind w:firstLine="0" w:firstLineChars="0"/>
      </w:pPr>
      <w:r>
        <w:t>1.支持多种结算方式，例如同时使用现金、医保卡、银行卡混合付款。</w:t>
      </w:r>
    </w:p>
    <w:p w14:paraId="31C307AA">
      <w:pPr>
        <w:ind w:firstLine="0" w:firstLineChars="0"/>
      </w:pPr>
      <w:r>
        <w:t>2.符合新版发票的打印格式。</w:t>
      </w:r>
    </w:p>
    <w:p w14:paraId="374B3BA8">
      <w:pPr>
        <w:ind w:firstLine="0" w:firstLineChars="0"/>
      </w:pPr>
      <w:r>
        <w:t>3.病人退款时，系统会提示那些项目已经执行，不能退款。</w:t>
      </w:r>
    </w:p>
    <w:p w14:paraId="4510292F">
      <w:pPr>
        <w:ind w:firstLine="0" w:firstLineChars="0"/>
      </w:pPr>
      <w:r>
        <w:t>4.支持根据医生级别自动补收挂号费；</w:t>
      </w:r>
    </w:p>
    <w:p w14:paraId="7C2F5567">
      <w:pPr>
        <w:ind w:firstLine="0" w:firstLineChars="0"/>
      </w:pPr>
      <w:r>
        <w:t>5.支持划价、收费分开和一体化功能，支持西药处方、中药饮片处方、协定处方模板进行划价；</w:t>
      </w:r>
    </w:p>
    <w:p w14:paraId="23C9D2D3">
      <w:pPr>
        <w:ind w:firstLine="0" w:firstLineChars="0"/>
      </w:pPr>
      <w:r>
        <w:t>6.支持医生录入处方选方收费，或收费员录入；</w:t>
      </w:r>
    </w:p>
    <w:p w14:paraId="3B900C31">
      <w:pPr>
        <w:ind w:firstLine="0" w:firstLineChars="0"/>
      </w:pPr>
      <w:r>
        <w:t>7.支持从网络系统中自动获取或直接录入患者收费信息、处理退费功能、执行科室确认监督机制；</w:t>
      </w:r>
    </w:p>
    <w:p w14:paraId="31661682">
      <w:pPr>
        <w:ind w:firstLine="0" w:firstLineChars="0"/>
      </w:pPr>
      <w:r>
        <w:t>8.支持各类收费报表处理功能，支持患者收据及费用明细、收费员工作量、病人基本信息维护、收款员发票、作废发票查询功能，支持报表打印输出功能。</w:t>
      </w:r>
    </w:p>
    <w:p w14:paraId="731E01C9">
      <w:pPr>
        <w:pStyle w:val="5"/>
      </w:pPr>
      <w:r>
        <w:t>门（急）诊护士工作站系统</w:t>
      </w:r>
      <w:r>
        <w:tab/>
      </w:r>
    </w:p>
    <w:p w14:paraId="78BA75B6">
      <w:pPr>
        <w:ind w:firstLine="0" w:firstLineChars="0"/>
      </w:pPr>
      <w:r>
        <w:t>1.病人收费后，无需领取针剂，可直接到注射室治疗。</w:t>
      </w:r>
    </w:p>
    <w:p w14:paraId="562D777E">
      <w:pPr>
        <w:ind w:firstLine="0" w:firstLineChars="0"/>
      </w:pPr>
      <w:r>
        <w:t>2.注射室读取从收费过来的信息后，系统会自动同时打印执行单和瓶签，无须手工确认打印。</w:t>
      </w:r>
    </w:p>
    <w:p w14:paraId="69C256A4">
      <w:pPr>
        <w:ind w:firstLine="0" w:firstLineChars="0"/>
      </w:pPr>
      <w:r>
        <w:t>3.可即时统计门诊注射用药情况</w:t>
      </w:r>
    </w:p>
    <w:p w14:paraId="50039456">
      <w:pPr>
        <w:ind w:firstLine="0" w:firstLineChars="0"/>
      </w:pPr>
      <w:r>
        <w:t>4.可查讯病人的附加收费项目情况</w:t>
      </w:r>
    </w:p>
    <w:p w14:paraId="1D802B0E">
      <w:pPr>
        <w:ind w:firstLine="0" w:firstLineChars="0"/>
      </w:pPr>
      <w:r>
        <w:t>5.可录入病人的皮试结果，并可返回医生工作站查看。</w:t>
      </w:r>
    </w:p>
    <w:p w14:paraId="2AE8403A">
      <w:pPr>
        <w:ind w:firstLine="0" w:firstLineChars="0"/>
      </w:pPr>
      <w:r>
        <w:t>6.支持按挂号序号或到达候诊区病人身份确认的时间依次安排病人就诊。</w:t>
      </w:r>
    </w:p>
    <w:p w14:paraId="15585BB1">
      <w:pPr>
        <w:ind w:firstLine="0" w:firstLineChars="0"/>
      </w:pPr>
      <w:r>
        <w:t>7.支持医师开始接诊病人时，系统显示屏能自动消除已经就诊的病人信息，并显示下一位病人的信息和诊室号。</w:t>
      </w:r>
    </w:p>
    <w:p w14:paraId="5AB9CD0B">
      <w:pPr>
        <w:ind w:firstLine="0" w:firstLineChars="0"/>
      </w:pPr>
      <w:r>
        <w:t>8.支持补充录入病人的基本资料。</w:t>
      </w:r>
    </w:p>
    <w:p w14:paraId="02DAFF0B">
      <w:pPr>
        <w:ind w:firstLine="0" w:firstLineChars="0"/>
      </w:pPr>
      <w:r>
        <w:t>9.能处理病人分几天多次注射的情况。系统能支持可通过各种查询方法查阅或打印病人注射计划或注射情况；</w:t>
      </w:r>
    </w:p>
    <w:p w14:paraId="270C2B32">
      <w:pPr>
        <w:ind w:firstLine="0" w:firstLineChars="0"/>
      </w:pPr>
      <w:r>
        <w:t>10.自动统计功能：包括注射人次、静脉、肌注人次、药品、每位护士工作量等。</w:t>
      </w:r>
    </w:p>
    <w:p w14:paraId="32210D86">
      <w:pPr>
        <w:pStyle w:val="5"/>
      </w:pPr>
      <w:r>
        <w:t>门急诊医生工作站</w:t>
      </w:r>
      <w:r>
        <w:tab/>
      </w:r>
    </w:p>
    <w:p w14:paraId="1AAA9F57">
      <w:pPr>
        <w:ind w:firstLine="0" w:firstLineChars="0"/>
      </w:pPr>
      <w:r>
        <w:t>1.无需切换界面或另外登陆其他模块，在同一处方界面通过“检验报告”和“影像报告”按钮即时知道病人的报告是否已发布，并点下按钮即可查询病人的电子报告结果。</w:t>
      </w:r>
    </w:p>
    <w:p w14:paraId="72032C2D">
      <w:pPr>
        <w:ind w:firstLine="0" w:firstLineChars="0"/>
      </w:pPr>
      <w:r>
        <w:t>2.开单方便，通过“勾选”和“保存”两步就能迅速完成门诊申请单。</w:t>
      </w:r>
    </w:p>
    <w:p w14:paraId="3CB498A9">
      <w:pPr>
        <w:ind w:firstLine="0" w:firstLineChars="0"/>
      </w:pPr>
      <w:r>
        <w:t>3.可自由预览病人过往的门诊处方并可复制引用。也可查询病人的住院病历和过往已做的检验、检查报告。</w:t>
      </w:r>
    </w:p>
    <w:p w14:paraId="3CE16531">
      <w:pPr>
        <w:ind w:firstLine="0" w:firstLineChars="0"/>
      </w:pPr>
      <w:r>
        <w:t>4.明了的药品信息，使医生清楚地区分医保用药和自费药。</w:t>
      </w:r>
    </w:p>
    <w:p w14:paraId="797B0728">
      <w:pPr>
        <w:ind w:firstLine="0" w:firstLineChars="0"/>
      </w:pPr>
      <w:r>
        <w:t>5.随时随地的病人信息查询，帮助医生全面快捷了解病人的门诊、住院病历记录、用药历史和检查结果等情况。</w:t>
      </w:r>
    </w:p>
    <w:p w14:paraId="6B73EB50">
      <w:pPr>
        <w:ind w:firstLine="0" w:firstLineChars="0"/>
      </w:pPr>
      <w:r>
        <w:t>6.可以随时查询病人是否收费的情况及自己处方的统计和分析。例如医生和科室可以按时间随时分析各自的收入情况并与上月或同期进行比较分析。</w:t>
      </w:r>
    </w:p>
    <w:p w14:paraId="343B66A7">
      <w:pPr>
        <w:ind w:firstLine="0" w:firstLineChars="0"/>
      </w:pPr>
      <w:r>
        <w:t>7.提供丰富的模板功能和协定方管理，模板可按全院、科室、医生三级进行管理，协定处方保密功能完善；</w:t>
      </w:r>
    </w:p>
    <w:p w14:paraId="05ECC398">
      <w:pPr>
        <w:ind w:firstLine="0" w:firstLineChars="0"/>
      </w:pPr>
      <w:r>
        <w:t>8.支持处方、各种检查化验申请单、报告单的网上填写、传送；</w:t>
      </w:r>
    </w:p>
    <w:p w14:paraId="4818B18F">
      <w:pPr>
        <w:ind w:firstLine="0" w:firstLineChars="0"/>
      </w:pPr>
      <w:r>
        <w:t>9.支持查询既往病历、处方、检查化验报告、病人数字影像等；</w:t>
      </w:r>
    </w:p>
    <w:p w14:paraId="20B37758">
      <w:pPr>
        <w:ind w:firstLine="0" w:firstLineChars="0"/>
      </w:pPr>
      <w:r>
        <w:t>10.支持限制对超过挂号期限的病人开具处方，书写病历；</w:t>
      </w:r>
    </w:p>
    <w:p w14:paraId="066BE474">
      <w:pPr>
        <w:ind w:firstLine="0" w:firstLineChars="0"/>
      </w:pPr>
      <w:r>
        <w:t>11.支持按不同条件查询病人；</w:t>
      </w:r>
    </w:p>
    <w:p w14:paraId="3576214E">
      <w:pPr>
        <w:ind w:firstLine="0" w:firstLineChars="0"/>
      </w:pPr>
      <w:r>
        <w:t>12.支持接收挂错号的病人进行转诊申请：选择转诊科室、转诊医生、书写备注，限制转诊到不同级别的医生；</w:t>
      </w:r>
    </w:p>
    <w:p w14:paraId="55FD3718">
      <w:pPr>
        <w:ind w:firstLine="0" w:firstLineChars="0"/>
      </w:pPr>
      <w:r>
        <w:t>13.支持中、西医类型的处方录入，并自动检测药品库存；</w:t>
      </w:r>
    </w:p>
    <w:p w14:paraId="1F0720EA">
      <w:pPr>
        <w:ind w:firstLine="0" w:firstLineChars="0"/>
      </w:pPr>
      <w:r>
        <w:t>14.支持严格按中医医嘱格式(煎法、服法、剂数)，单味药能填写先煎、后下等各种煎服备注；</w:t>
      </w:r>
    </w:p>
    <w:p w14:paraId="5C4AE3CC">
      <w:pPr>
        <w:ind w:firstLine="0" w:firstLineChars="0"/>
      </w:pPr>
      <w:r>
        <w:t>15.提供医嘱补增、作废及痕迹示踪等功能；</w:t>
      </w:r>
    </w:p>
    <w:p w14:paraId="66EBD7D6">
      <w:pPr>
        <w:ind w:firstLine="0" w:firstLineChars="0"/>
      </w:pPr>
      <w:r>
        <w:t>16.与西药处方分开，单独界面开中药处方，能录入火候、煎药方式等信息</w:t>
      </w:r>
    </w:p>
    <w:p w14:paraId="1B776F82">
      <w:pPr>
        <w:pStyle w:val="5"/>
      </w:pPr>
      <w:r>
        <w:t>住院管理系统</w:t>
      </w:r>
      <w:r>
        <w:tab/>
      </w:r>
    </w:p>
    <w:p w14:paraId="61AE1B3A">
      <w:pPr>
        <w:pStyle w:val="6"/>
      </w:pPr>
      <w:r>
        <w:t>入院登记管理系统</w:t>
      </w:r>
      <w:r>
        <w:tab/>
      </w:r>
    </w:p>
    <w:p w14:paraId="78C3A2C1">
      <w:pPr>
        <w:ind w:firstLine="0" w:firstLineChars="0"/>
      </w:pPr>
      <w:r>
        <w:t>1.支持预约入院登记、建立首页信息、办理入院登记；</w:t>
      </w:r>
    </w:p>
    <w:p w14:paraId="019655EA">
      <w:pPr>
        <w:ind w:firstLine="0" w:firstLineChars="0"/>
      </w:pPr>
      <w:r>
        <w:t>2.录入病人姓名后，系统自动检索是否存在历史记录，并可以作并号处理；</w:t>
      </w:r>
    </w:p>
    <w:p w14:paraId="0D427748">
      <w:pPr>
        <w:ind w:firstLine="0" w:firstLineChars="0"/>
      </w:pPr>
      <w:r>
        <w:t>3.支持预交金管理；</w:t>
      </w:r>
    </w:p>
    <w:p w14:paraId="375DBC1B">
      <w:pPr>
        <w:ind w:firstLine="0" w:firstLineChars="0"/>
      </w:pPr>
      <w:r>
        <w:t>4.支持院内一卡通功能；</w:t>
      </w:r>
    </w:p>
    <w:p w14:paraId="31799EBD">
      <w:pPr>
        <w:ind w:firstLine="0" w:firstLineChars="0"/>
      </w:pPr>
      <w:r>
        <w:t>5.支持读取门诊病人转住院病人信息，支持住院病历管理功能；</w:t>
      </w:r>
    </w:p>
    <w:p w14:paraId="5E6827D3">
      <w:pPr>
        <w:ind w:firstLine="0" w:firstLineChars="0"/>
      </w:pPr>
      <w:r>
        <w:t>6.支持出院管理及床位信息查询功能，能够处理病人选床、转床、转科。</w:t>
      </w:r>
    </w:p>
    <w:p w14:paraId="537FD457">
      <w:pPr>
        <w:pStyle w:val="6"/>
      </w:pPr>
      <w:r>
        <w:t>住院收费管理</w:t>
      </w:r>
    </w:p>
    <w:p w14:paraId="7D476F6D">
      <w:pPr>
        <w:ind w:firstLine="0" w:firstLineChars="0"/>
      </w:pPr>
      <w:r>
        <w:t>1.支持医保、农合结算</w:t>
      </w:r>
    </w:p>
    <w:p w14:paraId="26881212">
      <w:pPr>
        <w:ind w:firstLine="0" w:firstLineChars="0"/>
      </w:pPr>
      <w:r>
        <w:t>2.支持新版发票的打印格式</w:t>
      </w:r>
    </w:p>
    <w:p w14:paraId="49661A2E">
      <w:pPr>
        <w:ind w:firstLine="0" w:firstLineChars="0"/>
      </w:pPr>
      <w:r>
        <w:t>3.可查询统计各科室病人的结算情况。</w:t>
      </w:r>
    </w:p>
    <w:p w14:paraId="474C0FDF">
      <w:pPr>
        <w:ind w:firstLine="0" w:firstLineChars="0"/>
      </w:pPr>
      <w:r>
        <w:t>4.支持读取医嘱、费用录入、预交金最低限额警告、费用查询、欠费退费管理功能，保留录入者痕迹，支持单项、中途、出院等结算方式，并可取消结算；</w:t>
      </w:r>
    </w:p>
    <w:p w14:paraId="6F04B888">
      <w:pPr>
        <w:ind w:firstLine="0" w:firstLineChars="0"/>
      </w:pPr>
      <w:r>
        <w:t>5.支持自动划价收费，支持按在院病人个人生成应收、预收帐表，仿手工帐页格式；</w:t>
      </w:r>
    </w:p>
    <w:p w14:paraId="20625E8B">
      <w:pPr>
        <w:ind w:firstLine="0" w:firstLineChars="0"/>
      </w:pPr>
      <w:r>
        <w:t>6.支持住院收费科室工作量统计及各种打印输出功能；</w:t>
      </w:r>
    </w:p>
    <w:p w14:paraId="4A9B54C8">
      <w:pPr>
        <w:ind w:firstLine="0" w:firstLineChars="0"/>
      </w:pPr>
      <w:r>
        <w:t>7.支持查询统计功能；</w:t>
      </w:r>
    </w:p>
    <w:p w14:paraId="327956A6">
      <w:pPr>
        <w:ind w:firstLine="0" w:firstLineChars="0"/>
      </w:pPr>
      <w:r>
        <w:t>8.收费员报表记录发票使用情况；</w:t>
      </w:r>
    </w:p>
    <w:p w14:paraId="551333D2">
      <w:pPr>
        <w:ind w:firstLine="0" w:firstLineChars="0"/>
      </w:pPr>
      <w:r>
        <w:t>9.提供住院患者费用的“每日清单”功能。</w:t>
      </w:r>
    </w:p>
    <w:p w14:paraId="04A64EC9">
      <w:pPr>
        <w:pStyle w:val="5"/>
      </w:pPr>
      <w:r>
        <w:t>住院护士工作站</w:t>
      </w:r>
      <w:r>
        <w:tab/>
      </w:r>
    </w:p>
    <w:p w14:paraId="0E300D82">
      <w:pPr>
        <w:ind w:firstLine="0" w:firstLineChars="0"/>
      </w:pPr>
      <w:r>
        <w:t>1.护士审核医嘱---打印执行单----核对病人费用（根据需要，原则上系统已经设置好相关的附加收费项目，无需专门化时间核对）。</w:t>
      </w:r>
    </w:p>
    <w:p w14:paraId="5C662896">
      <w:pPr>
        <w:ind w:firstLine="0" w:firstLineChars="0"/>
      </w:pPr>
      <w:r>
        <w:t>2.护士审核医嘱后系统自动向相关执行部门发送电子申请单。</w:t>
      </w:r>
    </w:p>
    <w:p w14:paraId="7D8DB5A2">
      <w:pPr>
        <w:ind w:firstLine="0" w:firstLineChars="0"/>
      </w:pPr>
      <w:r>
        <w:t>3.直观的床位一览界面，可随时知道床位的分布情况：空床多少，床位占有率。病急、病危、病重病人的明确标识。也可自由切换到床头卡的详细显示方式。</w:t>
      </w:r>
    </w:p>
    <w:p w14:paraId="447C3CFF">
      <w:pPr>
        <w:ind w:firstLine="0" w:firstLineChars="0"/>
      </w:pPr>
      <w:r>
        <w:t>4.执行单可以按护理、治疗等需要打印分类汇总单、皮试结果的录入可直接显示在医生的医嘱界面。</w:t>
      </w:r>
    </w:p>
    <w:p w14:paraId="7198ECB8">
      <w:pPr>
        <w:ind w:firstLine="0" w:firstLineChars="0"/>
      </w:pPr>
      <w:r>
        <w:t>5.科室节余用药管理功能，便于科室更好地统计和管理药品。</w:t>
      </w:r>
    </w:p>
    <w:p w14:paraId="42CF8F34">
      <w:pPr>
        <w:ind w:firstLine="0" w:firstLineChars="0"/>
      </w:pPr>
      <w:r>
        <w:t>6.护理工作量统计</w:t>
      </w:r>
    </w:p>
    <w:p w14:paraId="32169326">
      <w:pPr>
        <w:ind w:firstLine="0" w:firstLineChars="0"/>
      </w:pPr>
      <w:r>
        <w:t>7.支持床位图直观体现床号、病历号、性别、年龄、诊断、病情、护理级别及饮食等信息</w:t>
      </w:r>
    </w:p>
    <w:p w14:paraId="5D610D08">
      <w:pPr>
        <w:ind w:firstLine="0" w:firstLineChars="0"/>
      </w:pPr>
      <w:r>
        <w:t>8.提供护理文书的绘制、显示、打印功能</w:t>
      </w:r>
    </w:p>
    <w:p w14:paraId="132E78C5">
      <w:pPr>
        <w:ind w:firstLine="0" w:firstLineChars="0"/>
      </w:pPr>
      <w:r>
        <w:t>9.简洁直观的医嘱处理界面、各种单据的打印功能</w:t>
      </w:r>
    </w:p>
    <w:p w14:paraId="0A65BE2A">
      <w:pPr>
        <w:ind w:firstLine="0" w:firstLineChars="0"/>
      </w:pPr>
      <w:r>
        <w:t>10.支持灵活的床位费收取，并提供包床和包房的功能，费用管理功能，具有各种退费、欠费、催缴清单打印功能</w:t>
      </w:r>
    </w:p>
    <w:p w14:paraId="379DD063">
      <w:pPr>
        <w:ind w:firstLine="0" w:firstLineChars="0"/>
      </w:pPr>
      <w:r>
        <w:t>11.提供各种护理单据格式，支持自定义格式，并支持全院统一或科室专用格式</w:t>
      </w:r>
    </w:p>
    <w:p w14:paraId="3A8E4449">
      <w:pPr>
        <w:ind w:firstLine="0" w:firstLineChars="0"/>
      </w:pPr>
      <w:r>
        <w:t>12.支持护理工作量统计</w:t>
      </w:r>
    </w:p>
    <w:p w14:paraId="2FA68D68">
      <w:pPr>
        <w:pStyle w:val="5"/>
      </w:pPr>
      <w:r>
        <w:rPr>
          <w:rFonts w:hint="eastAsia"/>
        </w:rPr>
        <w:t>手术管理</w:t>
      </w:r>
    </w:p>
    <w:p w14:paraId="5542AE04">
      <w:pPr>
        <w:ind w:firstLine="0" w:firstLineChars="0"/>
      </w:pPr>
      <w:r>
        <w:rPr>
          <w:rFonts w:hint="eastAsia"/>
        </w:rPr>
        <w:t>1.支持手术申请管理</w:t>
      </w:r>
    </w:p>
    <w:p w14:paraId="32F34376">
      <w:pPr>
        <w:ind w:firstLine="0" w:firstLineChars="0"/>
      </w:pPr>
      <w:r>
        <w:rPr>
          <w:rFonts w:hint="eastAsia"/>
        </w:rPr>
        <w:t>2.支持手术费用管理</w:t>
      </w:r>
    </w:p>
    <w:p w14:paraId="6C825B99">
      <w:pPr>
        <w:pStyle w:val="5"/>
        <w:ind w:left="720" w:hanging="720"/>
      </w:pPr>
      <w:r>
        <w:t>住院医生工作站</w:t>
      </w:r>
      <w:r>
        <w:tab/>
      </w:r>
    </w:p>
    <w:p w14:paraId="6AFF64A4">
      <w:pPr>
        <w:ind w:firstLine="0" w:firstLineChars="0"/>
      </w:pPr>
      <w:r>
        <w:t>1.支持首、末日次数，加倍或增减量等医嘱操作，并自动检测库存，提供长期和临时医嘱的处理功能，包括医嘱的开立、停止和作废；</w:t>
      </w:r>
    </w:p>
    <w:p w14:paraId="2526A2B2">
      <w:pPr>
        <w:ind w:firstLine="0" w:firstLineChars="0"/>
      </w:pPr>
      <w:r>
        <w:t>2.提供丰富的模板功能，并按全院、科室、医生三级进行管理，提供常用临床项目字典，医嘱组套，模板；</w:t>
      </w:r>
    </w:p>
    <w:p w14:paraId="58B78D20">
      <w:pPr>
        <w:ind w:firstLine="0" w:firstLineChars="0"/>
      </w:pPr>
      <w:r>
        <w:t>3.进入录医嘱画面时,显示病人今日总费、药品费用、抗生素使用种类数量；</w:t>
      </w:r>
    </w:p>
    <w:p w14:paraId="4581899D">
      <w:pPr>
        <w:ind w:firstLine="0" w:firstLineChars="0"/>
      </w:pPr>
      <w:r>
        <w:t>4.支持各种检查化验申请单、报告单的网上填写、传送；</w:t>
      </w:r>
    </w:p>
    <w:p w14:paraId="553197E7">
      <w:pPr>
        <w:ind w:firstLine="0" w:firstLineChars="0"/>
      </w:pPr>
      <w:r>
        <w:t>5.支持医疗单据自定义格式，可选择全院统一格式或科室专用格式；</w:t>
      </w:r>
    </w:p>
    <w:p w14:paraId="038CCDD1">
      <w:pPr>
        <w:ind w:firstLine="0" w:firstLineChars="0"/>
      </w:pPr>
      <w:r>
        <w:t>6.支持查询既往病历、处方、检查化验报告，住院信息，提供医嘱执行情况、病床使用情况、处方、费用明细查询；</w:t>
      </w:r>
    </w:p>
    <w:p w14:paraId="73D159B1">
      <w:pPr>
        <w:ind w:firstLine="0" w:firstLineChars="0"/>
      </w:pPr>
      <w:r>
        <w:t>7.支持病历资料修改留痕操作，支持I-CD10国际疾病分类标准，支持疾病编码、拼写、汉字等多重检索。</w:t>
      </w:r>
    </w:p>
    <w:p w14:paraId="07E150B3">
      <w:pPr>
        <w:pStyle w:val="5"/>
      </w:pPr>
      <w:r>
        <w:t>药（仓）库管理系统</w:t>
      </w:r>
      <w:r>
        <w:tab/>
      </w:r>
      <w:r>
        <w:tab/>
      </w:r>
    </w:p>
    <w:p w14:paraId="6BAEBAAC">
      <w:pPr>
        <w:ind w:firstLine="0" w:firstLineChars="0"/>
      </w:pPr>
      <w:r>
        <w:t>1.支持批次管理，提供药品入库、出库、调价、调拨、盘点、报损丢失、退药等功能；</w:t>
      </w:r>
    </w:p>
    <w:p w14:paraId="619C715A">
      <w:pPr>
        <w:ind w:firstLine="0" w:firstLineChars="0"/>
      </w:pPr>
      <w:r>
        <w:t>2.支持药品库存日、月、年结功能；</w:t>
      </w:r>
    </w:p>
    <w:p w14:paraId="7B83C663">
      <w:pPr>
        <w:ind w:firstLine="0" w:firstLineChars="0"/>
      </w:pPr>
      <w:r>
        <w:t>3.支持明细帐和原始单据联查，生成药品入库、出库、调价、调拨、盘点、报损丢失、退药等各项汇总数据；</w:t>
      </w:r>
    </w:p>
    <w:p w14:paraId="565A80EB">
      <w:pPr>
        <w:ind w:firstLine="0" w:firstLineChars="0"/>
      </w:pPr>
      <w:r>
        <w:t>4.支持合理用药接口管理，提供药品字典库维护及药品有效期管理功能，自动报警和统计过期药品量；</w:t>
      </w:r>
    </w:p>
    <w:p w14:paraId="1E3398C4">
      <w:pPr>
        <w:pStyle w:val="5"/>
      </w:pPr>
      <w:r>
        <w:t>门诊药房管理子系统</w:t>
      </w:r>
    </w:p>
    <w:p w14:paraId="03B119AC">
      <w:pPr>
        <w:ind w:firstLine="0" w:firstLineChars="0"/>
      </w:pPr>
      <w:r>
        <w:t>1.药房自动响应收款处的处方信息，病人一收款，药房打印机会自动按照科室类别和药品的分类在不同的窗口打印电子处方和配药单，配药单可采用打印标签纸或预先印制好的药袋。配药人员可以在病人到来之前提早备药</w:t>
      </w:r>
    </w:p>
    <w:p w14:paraId="15075534">
      <w:pPr>
        <w:ind w:firstLine="0" w:firstLineChars="0"/>
      </w:pPr>
      <w:r>
        <w:t>2.支持配、发药分开和配发药一体化模式；</w:t>
      </w:r>
    </w:p>
    <w:p w14:paraId="55BFFBA8">
      <w:pPr>
        <w:ind w:firstLine="0" w:firstLineChars="0"/>
      </w:pPr>
      <w:r>
        <w:t>3.提供对门诊患者处方划价，为住院患者划价、计帐，按医嘱发药；</w:t>
      </w:r>
    </w:p>
    <w:p w14:paraId="2D697F53">
      <w:pPr>
        <w:ind w:firstLine="0" w:firstLineChars="0"/>
      </w:pPr>
      <w:r>
        <w:t>4.支持批次管理，提供药品入库、出库、调价、调拨、盘点、报损丢失、退药等功能, 实现药品日、月、年结算；</w:t>
      </w:r>
    </w:p>
    <w:p w14:paraId="41819E72">
      <w:pPr>
        <w:ind w:firstLine="0" w:firstLineChars="0"/>
      </w:pPr>
      <w:r>
        <w:t>5.支持明细帐和原始单据联查，生成药品入库、出库、调价、调拨、盘点、报损丢失、退药等各项汇总数据；</w:t>
      </w:r>
    </w:p>
    <w:p w14:paraId="4F13C178">
      <w:pPr>
        <w:ind w:firstLine="0" w:firstLineChars="0"/>
      </w:pPr>
      <w:r>
        <w:t>6.支持合理用药接口管理，提供药品字典库维护及药品有效期管理功能，自动报警和统计过期药品量；</w:t>
      </w:r>
    </w:p>
    <w:p w14:paraId="28450973">
      <w:pPr>
        <w:ind w:firstLine="0" w:firstLineChars="0"/>
      </w:pPr>
      <w:r>
        <w:t>7.支持药品调价处理；</w:t>
      </w:r>
    </w:p>
    <w:p w14:paraId="64262E46">
      <w:pPr>
        <w:pStyle w:val="5"/>
      </w:pPr>
      <w:r>
        <w:t>中心药房管理系统</w:t>
      </w:r>
    </w:p>
    <w:p w14:paraId="4E18C4D6">
      <w:pPr>
        <w:ind w:firstLine="0" w:firstLineChars="0"/>
      </w:pPr>
      <w:r>
        <w:t>1.支持合理用药接口：可供药剂科审查医生处方和医嘱开出的药是否合理。</w:t>
      </w:r>
    </w:p>
    <w:p w14:paraId="3B2DC564">
      <w:pPr>
        <w:ind w:firstLine="0" w:firstLineChars="0"/>
      </w:pPr>
      <w:r>
        <w:t>2.可随时掌握科室领药和退费的情况，例如：如科室发现病人退费，及时就可知道已领药但未收费的药品信息，监督科室归还药房。</w:t>
      </w:r>
    </w:p>
    <w:p w14:paraId="3F3C5FB9">
      <w:pPr>
        <w:ind w:firstLine="0" w:firstLineChars="0"/>
      </w:pPr>
      <w:r>
        <w:t>3.智能提示和打印病人的出院带药单，病人办理出院交费后可直接到药房取药，无需科室护士代领。</w:t>
      </w:r>
    </w:p>
    <w:p w14:paraId="59B95426">
      <w:pPr>
        <w:ind w:firstLine="0" w:firstLineChars="0"/>
      </w:pPr>
      <w:r>
        <w:t>4.各种预警功能：库存不足提示、药品有效期提示、调价通知、新药品购进提示等。</w:t>
      </w:r>
    </w:p>
    <w:p w14:paraId="250155A4">
      <w:pPr>
        <w:ind w:firstLine="0" w:firstLineChars="0"/>
      </w:pPr>
      <w:r>
        <w:t>5.提供正常发药、紧急发药、补发药、预发药等多种发药方式；</w:t>
      </w:r>
    </w:p>
    <w:p w14:paraId="3840580F">
      <w:pPr>
        <w:ind w:firstLine="0" w:firstLineChars="0"/>
      </w:pPr>
      <w:r>
        <w:t>6.支持批次管理，提供药品入库、出库、调价、调拨、盘点、报损丢失、退药等功能, 实现药品日、月、年结算；</w:t>
      </w:r>
    </w:p>
    <w:p w14:paraId="187D320A">
      <w:pPr>
        <w:ind w:firstLine="0" w:firstLineChars="0"/>
      </w:pPr>
      <w:r>
        <w:t>7.支持细帐和原始单据联查，生成药品入库、出库、调价、调拨、盘点、报损丢失、退药等各项汇总数据；</w:t>
      </w:r>
    </w:p>
    <w:p w14:paraId="7DFB7AA6">
      <w:pPr>
        <w:ind w:firstLine="0" w:firstLineChars="0"/>
      </w:pPr>
      <w:r>
        <w:t>8.提供药品字典库维护及药品有效期管理功能，自动报警和统计过期药品量；</w:t>
      </w:r>
    </w:p>
    <w:p w14:paraId="3555C8C3">
      <w:pPr>
        <w:ind w:firstLine="0" w:firstLineChars="0"/>
      </w:pPr>
      <w:r>
        <w:t>9.支持药品换包装、调价处理；</w:t>
      </w:r>
    </w:p>
    <w:p w14:paraId="781818F0">
      <w:pPr>
        <w:ind w:firstLine="0" w:firstLineChars="0"/>
      </w:pPr>
      <w:r>
        <w:t>10.提供丰富的查询统计功能。</w:t>
      </w:r>
    </w:p>
    <w:p w14:paraId="33048E5B">
      <w:pPr>
        <w:ind w:firstLine="0" w:firstLineChars="0"/>
      </w:pPr>
      <w:r>
        <w:rPr>
          <w:rFonts w:hint="eastAsia"/>
        </w:rPr>
        <w:t>11.实现总医院统一发药功能</w:t>
      </w:r>
    </w:p>
    <w:p w14:paraId="066BFCC8">
      <w:pPr>
        <w:pStyle w:val="5"/>
      </w:pPr>
      <w:r>
        <w:t>财务报表系统</w:t>
      </w:r>
      <w:r>
        <w:tab/>
      </w:r>
    </w:p>
    <w:p w14:paraId="39701FF4">
      <w:pPr>
        <w:ind w:firstLine="0" w:firstLineChars="0"/>
      </w:pPr>
      <w:r>
        <w:t>1.财务费用项目明细与类别对应关系管理；</w:t>
      </w:r>
    </w:p>
    <w:p w14:paraId="11B4CA13">
      <w:pPr>
        <w:ind w:firstLine="0" w:firstLineChars="0"/>
      </w:pPr>
      <w:r>
        <w:t>2.财务费用分类管理明细，药费(西药、中成药、中草药)，分成收入(检查费、麻醉费、化验费)，科室收入(治疗费、手术费、床位费、取暖费、空调费)；</w:t>
      </w:r>
    </w:p>
    <w:p w14:paraId="4EB0C67D">
      <w:pPr>
        <w:ind w:firstLine="0" w:firstLineChars="0"/>
      </w:pPr>
      <w:r>
        <w:t>3.数据自动处理：在业务空闲时段，从各应用系统中提取相关数据导入到经济核算管理数据库中；</w:t>
      </w:r>
    </w:p>
    <w:p w14:paraId="470D9A94">
      <w:pPr>
        <w:ind w:firstLine="0" w:firstLineChars="0"/>
      </w:pPr>
      <w:r>
        <w:t>4.报表格式自定义：类似于EXCEL报表排板操作，用于定义各种报表的格式，如定义成科室收入报表、科室支出报表、科室损益报表等；</w:t>
      </w:r>
    </w:p>
    <w:p w14:paraId="40874877">
      <w:pPr>
        <w:ind w:firstLine="0" w:firstLineChars="0"/>
      </w:pPr>
      <w:r>
        <w:t>5.报表内容定义：根据报表内容的要求，确定报表各栏的内容形式，包括固定文字(数值、时间)内容，信息查询内容(从数据库中按信息要求设计的查询语句)、计算内容(根据数据计算要求，生成的计算公式)；</w:t>
      </w:r>
    </w:p>
    <w:p w14:paraId="6B34564F">
      <w:pPr>
        <w:ind w:firstLine="0" w:firstLineChars="0"/>
      </w:pPr>
      <w:r>
        <w:t>6.报表生成：按固定的时间段(一般为一个月度)和报表要求，自动生成财务表；</w:t>
      </w:r>
    </w:p>
    <w:p w14:paraId="335EB2F9">
      <w:pPr>
        <w:pStyle w:val="5"/>
      </w:pPr>
      <w:r>
        <w:t>物资（材料）管理系统</w:t>
      </w:r>
      <w:r>
        <w:tab/>
      </w:r>
    </w:p>
    <w:p w14:paraId="4B1806C7">
      <w:pPr>
        <w:ind w:firstLine="0" w:firstLineChars="0"/>
      </w:pPr>
      <w:r>
        <w:t>1.采购计划单自动获取或录入、采购计划单编辑查询功能；</w:t>
      </w:r>
    </w:p>
    <w:p w14:paraId="6CB0AD8B">
      <w:pPr>
        <w:ind w:firstLine="0" w:firstLineChars="0"/>
      </w:pPr>
      <w:r>
        <w:t>2.专购品请购单自动获取或录入、专购品请购单编辑查询功能；</w:t>
      </w:r>
    </w:p>
    <w:p w14:paraId="450F9326">
      <w:pPr>
        <w:ind w:firstLine="0" w:firstLineChars="0"/>
      </w:pPr>
      <w:r>
        <w:t>3.入库单自动获取录入、入库单编辑查询功能；</w:t>
      </w:r>
    </w:p>
    <w:p w14:paraId="142E5B96">
      <w:pPr>
        <w:ind w:firstLine="0" w:firstLineChars="0"/>
      </w:pPr>
      <w:r>
        <w:t>4.出库单自动获取录入、出库单编辑查询功能；</w:t>
      </w:r>
    </w:p>
    <w:p w14:paraId="58BE34CE">
      <w:pPr>
        <w:ind w:firstLine="0" w:firstLineChars="0"/>
      </w:pPr>
      <w:r>
        <w:t>5.调拨单自动获取录入、调拨单编辑查询功能；</w:t>
      </w:r>
    </w:p>
    <w:p w14:paraId="7D444B6D">
      <w:pPr>
        <w:ind w:firstLine="0" w:firstLineChars="0"/>
      </w:pPr>
      <w:r>
        <w:t>6.库存量查询打印功能；</w:t>
      </w:r>
    </w:p>
    <w:p w14:paraId="3F9817D3">
      <w:pPr>
        <w:ind w:firstLine="0" w:firstLineChars="0"/>
      </w:pPr>
      <w:r>
        <w:t>7.库存分类汇总打印功能；</w:t>
      </w:r>
    </w:p>
    <w:p w14:paraId="330EBE80">
      <w:pPr>
        <w:ind w:firstLine="0" w:firstLineChars="0"/>
      </w:pPr>
      <w:r>
        <w:t>8.出入库情况汇总打印功能；</w:t>
      </w:r>
    </w:p>
    <w:p w14:paraId="357C59D2">
      <w:pPr>
        <w:ind w:firstLine="0" w:firstLineChars="0"/>
      </w:pPr>
      <w:r>
        <w:t>9.采购结算统计打印功能；</w:t>
      </w:r>
    </w:p>
    <w:p w14:paraId="31EBF21F">
      <w:pPr>
        <w:ind w:firstLine="0" w:firstLineChars="0"/>
      </w:pPr>
      <w:r>
        <w:t>10.库存物资盘点及盘盈、盘亏功能；</w:t>
      </w:r>
    </w:p>
    <w:p w14:paraId="3494F1B3">
      <w:pPr>
        <w:ind w:firstLine="0" w:firstLineChars="0"/>
      </w:pPr>
      <w:r>
        <w:t>11.物资管理月报、年报报表打印功能；</w:t>
      </w:r>
    </w:p>
    <w:p w14:paraId="46F98DE7">
      <w:pPr>
        <w:ind w:firstLine="0" w:firstLineChars="0"/>
      </w:pPr>
      <w:r>
        <w:t>12.物资管理字典维护功能；</w:t>
      </w:r>
    </w:p>
    <w:p w14:paraId="19088FB4">
      <w:pPr>
        <w:ind w:firstLine="0" w:firstLineChars="0"/>
      </w:pPr>
      <w:r>
        <w:t>13.系统初始化管理功能；</w:t>
      </w:r>
    </w:p>
    <w:p w14:paraId="422B6E7E">
      <w:pPr>
        <w:pStyle w:val="5"/>
      </w:pPr>
      <w:r>
        <w:t>院长查询系统及科主任、护长查询系统</w:t>
      </w:r>
    </w:p>
    <w:p w14:paraId="02E78A69">
      <w:pPr>
        <w:ind w:firstLine="0" w:firstLineChars="0"/>
      </w:pPr>
      <w:r>
        <w:t>1.院长查询系统：提供丰富的报表；提供完整的医疗经济、医疗动态、财务、药品等信息；历史数据可按时间段进行对比查询，设置权限管理，保证信息安全。</w:t>
      </w:r>
    </w:p>
    <w:p w14:paraId="3F90C146">
      <w:pPr>
        <w:ind w:firstLine="0" w:firstLineChars="0"/>
      </w:pPr>
      <w:r>
        <w:t>2.门诊部综合查询查询功能</w:t>
      </w:r>
    </w:p>
    <w:p w14:paraId="0484DD78">
      <w:pPr>
        <w:ind w:firstLine="0" w:firstLineChars="0"/>
      </w:pPr>
      <w:r>
        <w:t>3.住院部科主任综合查询查询</w:t>
      </w:r>
    </w:p>
    <w:p w14:paraId="52ED7ED5">
      <w:pPr>
        <w:ind w:firstLine="0" w:firstLineChars="0"/>
      </w:pPr>
      <w:r>
        <w:t>数据中心及系统维护系统</w:t>
      </w:r>
      <w:r>
        <w:tab/>
      </w:r>
      <w:r>
        <w:t>数据中心及系统维护</w:t>
      </w:r>
      <w:r>
        <w:tab/>
      </w:r>
      <w:r>
        <w:t>1.统一维护系统代码,保证数据一致性；</w:t>
      </w:r>
    </w:p>
    <w:p w14:paraId="109463F3">
      <w:pPr>
        <w:ind w:firstLine="0" w:firstLineChars="0"/>
      </w:pPr>
      <w:r>
        <w:t>2.采用角色的方式进行批量赋权,权限可细化到管理每一个程序按钮；</w:t>
      </w:r>
    </w:p>
    <w:p w14:paraId="4EE63A27">
      <w:pPr>
        <w:ind w:firstLine="0" w:firstLineChars="0"/>
      </w:pPr>
      <w:r>
        <w:t>3.灵活的系统参数配置；</w:t>
      </w:r>
    </w:p>
    <w:p w14:paraId="40EBEC3F">
      <w:pPr>
        <w:ind w:firstLine="0" w:firstLineChars="0"/>
      </w:pPr>
      <w:r>
        <w:t>4.完善的系统操作日志，记录每位操作员进入时间、地点、操作内容等；</w:t>
      </w:r>
    </w:p>
    <w:p w14:paraId="255B048B">
      <w:pPr>
        <w:ind w:firstLine="0" w:firstLineChars="0"/>
      </w:pPr>
      <w:r>
        <w:t>5.记录各收费人员票据领用情况。</w:t>
      </w:r>
    </w:p>
    <w:p w14:paraId="76796CBC">
      <w:pPr>
        <w:pStyle w:val="2"/>
        <w:ind w:firstLine="480"/>
      </w:pPr>
    </w:p>
    <w:p w14:paraId="368C0AA7">
      <w:pPr>
        <w:pStyle w:val="4"/>
        <w:numPr>
          <w:ilvl w:val="1"/>
          <w:numId w:val="17"/>
        </w:numPr>
      </w:pPr>
      <w:r>
        <w:rPr>
          <w:rFonts w:hint="eastAsia"/>
          <w:szCs w:val="22"/>
        </w:rPr>
        <w:t>LIS系统</w:t>
      </w:r>
    </w:p>
    <w:p w14:paraId="60BCCA55">
      <w:pPr>
        <w:ind w:firstLine="0" w:firstLineChars="0"/>
        <w:rPr>
          <w:b/>
          <w:bCs/>
        </w:rPr>
      </w:pPr>
      <w:bookmarkStart w:id="186" w:name="_Toc101401583"/>
      <w:r>
        <w:rPr>
          <w:rFonts w:hint="eastAsia"/>
          <w:b/>
          <w:bCs/>
        </w:rPr>
        <w:t>1.基于检验系统的检验报告自动审核与报警系统</w:t>
      </w:r>
      <w:bookmarkEnd w:id="186"/>
    </w:p>
    <w:p w14:paraId="563D9A84">
      <w:pPr>
        <w:ind w:firstLine="640"/>
      </w:pPr>
      <w:r>
        <w:rPr>
          <w:rFonts w:hint="eastAsia"/>
        </w:rPr>
        <w:t>该系统是基于检验系统的检验报告审核自动化与结果异值报警，解决检验报告审核阶段因人为误判、漏判等问题，加快验单的发布和工作效率。自动审核规则的设定完全开放，工作人员可根据不同仪器、不同环境制定相应的审核机制，让电脑自动完成检验报告的审核，并对那些不符合自动审核规则的标本提供报警信息，供人工审核报告参考。</w:t>
      </w:r>
    </w:p>
    <w:p w14:paraId="464CB1A2">
      <w:pPr>
        <w:ind w:firstLine="0" w:firstLineChars="0"/>
        <w:rPr>
          <w:b/>
          <w:bCs/>
        </w:rPr>
      </w:pPr>
      <w:bookmarkStart w:id="187" w:name="_Toc101401584"/>
      <w:r>
        <w:rPr>
          <w:rFonts w:hint="eastAsia"/>
          <w:b/>
          <w:bCs/>
        </w:rPr>
        <w:t>2.基于条码试管的第三方系统接口与标本采集系统</w:t>
      </w:r>
      <w:bookmarkEnd w:id="187"/>
    </w:p>
    <w:p w14:paraId="4B3F935E">
      <w:pPr>
        <w:ind w:firstLine="640"/>
      </w:pPr>
      <w:r>
        <w:rPr>
          <w:rFonts w:hint="eastAsia"/>
        </w:rPr>
        <w:t>为了实现第三方系统的检验标本进入检验系统的条码化采集、监控和仪器双向测试，本系统是一个专门为第三方系统定制的检验标本采集系统，检验系统通过该系统与体检系统实现数据交换和标本的条码化，将体检系统的标本纳入检验信息系统统一规范中，确保体检标本进入检验中心检验时具备对双向通讯仪器的支持。</w:t>
      </w:r>
    </w:p>
    <w:p w14:paraId="15FC1BDB">
      <w:pPr>
        <w:ind w:firstLine="0" w:firstLineChars="0"/>
        <w:rPr>
          <w:b/>
          <w:bCs/>
        </w:rPr>
      </w:pPr>
      <w:bookmarkStart w:id="188" w:name="_Toc101401585"/>
      <w:r>
        <w:rPr>
          <w:rFonts w:hint="eastAsia"/>
          <w:b/>
          <w:bCs/>
        </w:rPr>
        <w:t>3.临床检验专业医疗质量控制指标</w:t>
      </w:r>
      <w:bookmarkEnd w:id="188"/>
    </w:p>
    <w:p w14:paraId="668123BC">
      <w:pPr>
        <w:ind w:firstLine="640"/>
      </w:pPr>
      <w:r>
        <w:rPr>
          <w:rFonts w:hint="eastAsia" w:ascii="仿宋" w:hAnsi="仿宋" w:cs="仿宋"/>
        </w:rPr>
        <w:t>国家卫计委“临床检验专业医疗质量控制指标”功能实现模块国家卫生计生委官方网站发布了临床检验专业质控指标，包括标本采集运送、检验周转时间、室内质控、室间质评、危急值报告等15条质量控制指标。这是首次以专科为单位，系统地发布医疗质控指标，为卫生行政部门和医疗机构加强医疗质量管理提供了工具。</w:t>
      </w:r>
    </w:p>
    <w:p w14:paraId="57C2A9FF">
      <w:pPr>
        <w:ind w:firstLine="0" w:firstLineChars="0"/>
        <w:rPr>
          <w:b/>
          <w:bCs/>
        </w:rPr>
      </w:pPr>
      <w:bookmarkStart w:id="189" w:name="_Toc101401586"/>
      <w:r>
        <w:rPr>
          <w:rFonts w:hint="eastAsia"/>
          <w:b/>
          <w:bCs/>
        </w:rPr>
        <w:t>4.</w:t>
      </w:r>
      <w:r>
        <w:rPr>
          <w:b/>
          <w:bCs/>
        </w:rPr>
        <w:t>危急值</w:t>
      </w:r>
      <w:r>
        <w:rPr>
          <w:rFonts w:hint="eastAsia"/>
          <w:b/>
          <w:bCs/>
        </w:rPr>
        <w:t>闭环管理</w:t>
      </w:r>
      <w:bookmarkEnd w:id="189"/>
    </w:p>
    <w:p w14:paraId="54E60FB5">
      <w:pPr>
        <w:ind w:firstLine="640"/>
      </w:pPr>
      <w:r>
        <w:t>仪器测试过程出现了异常值，提醒检验科医生尽快复查并处理；检验科医生审核标本时，系统自动判断危急值，遇危急标本系统自动提醒检验科医生，确需核发该报告时，检验科医生输入工号和密码后，系统自动将标本结果危急情况发送到标本采集的病区；审核报告的时候，根据危急值设置自动报警，可根据系统参数设置是否播报</w:t>
      </w:r>
      <w:r>
        <w:rPr>
          <w:rFonts w:hint="eastAsia"/>
        </w:rPr>
        <w:t>。</w:t>
      </w:r>
    </w:p>
    <w:p w14:paraId="22901D31">
      <w:pPr>
        <w:ind w:firstLine="0" w:firstLineChars="0"/>
        <w:rPr>
          <w:b/>
          <w:bCs/>
        </w:rPr>
      </w:pPr>
      <w:bookmarkStart w:id="190" w:name="_Toc101401587"/>
      <w:r>
        <w:rPr>
          <w:rFonts w:hint="eastAsia"/>
          <w:b/>
          <w:bCs/>
        </w:rPr>
        <w:t>5.基于检验系统（或数据中心）的检验报告微信（或微信a</w:t>
      </w:r>
      <w:r>
        <w:rPr>
          <w:b/>
          <w:bCs/>
        </w:rPr>
        <w:t>pp</w:t>
      </w:r>
      <w:r>
        <w:rPr>
          <w:rFonts w:hint="eastAsia"/>
          <w:b/>
          <w:bCs/>
        </w:rPr>
        <w:t>）接口</w:t>
      </w:r>
      <w:bookmarkEnd w:id="190"/>
    </w:p>
    <w:p w14:paraId="1E6B8478">
      <w:pPr>
        <w:ind w:firstLine="640"/>
        <w:rPr>
          <w:rFonts w:hint="eastAsia" w:ascii="仿宋" w:hAnsi="仿宋" w:cs="仿宋"/>
        </w:rPr>
      </w:pPr>
      <w:r>
        <w:rPr>
          <w:rFonts w:hint="eastAsia" w:ascii="仿宋" w:hAnsi="仿宋" w:cs="仿宋"/>
        </w:rPr>
        <w:t>本模块是专为医院需要微信服务（第三方产品）于病人时提供的接口服务，其接口方案主要与微信服务商技术机制有关，但模块确保检验报告的时效性，可控性何准确性，由于LIS系统是一个基于医院内部网络运行的系统，为了确保系统安全，LIS只与微信平台交换数据，医院对外微信服务的安全性和外推数据由微信平台统一控制。</w:t>
      </w:r>
    </w:p>
    <w:p w14:paraId="625709A5">
      <w:pPr>
        <w:ind w:firstLine="0" w:firstLineChars="0"/>
        <w:rPr>
          <w:b/>
          <w:bCs/>
        </w:rPr>
      </w:pPr>
      <w:bookmarkStart w:id="191" w:name="_Toc101401588"/>
      <w:r>
        <w:rPr>
          <w:rFonts w:hint="eastAsia"/>
          <w:b/>
          <w:bCs/>
        </w:rPr>
        <w:t>6.基于检验数据中心的外联检验标本数据交换接口</w:t>
      </w:r>
      <w:bookmarkEnd w:id="191"/>
    </w:p>
    <w:p w14:paraId="580F187E">
      <w:pPr>
        <w:ind w:firstLine="640"/>
      </w:pPr>
      <w:r>
        <w:rPr>
          <w:rFonts w:hint="eastAsia"/>
        </w:rPr>
        <w:t>基于检验数据中心的外联检验标本检测数据交换接口能解决医院外送标本至检测机构或接收外部医疗机构（下属医院）送检标本的业务数据交换和检验报告交换。检验数据中心平台统一了多方医疗机构和检测机构数据交换标准，实现医院检验部门与外联检验协作单位的业务互操作性，提高了检验业务标准化管理水平。</w:t>
      </w:r>
    </w:p>
    <w:p w14:paraId="786702F9">
      <w:pPr>
        <w:ind w:firstLine="0" w:firstLineChars="0"/>
        <w:rPr>
          <w:b/>
          <w:bCs/>
        </w:rPr>
      </w:pPr>
      <w:bookmarkStart w:id="192" w:name="_Toc101401589"/>
      <w:r>
        <w:rPr>
          <w:rFonts w:hint="eastAsia"/>
          <w:b/>
          <w:bCs/>
        </w:rPr>
        <w:t>7.基于检验系统的标本进程监控与统计分析系统</w:t>
      </w:r>
      <w:bookmarkEnd w:id="192"/>
    </w:p>
    <w:p w14:paraId="2386E767">
      <w:pPr>
        <w:ind w:firstLine="640"/>
      </w:pPr>
      <w:r>
        <w:rPr>
          <w:rFonts w:hint="eastAsia"/>
        </w:rPr>
        <w:t>实现标本流转时间（TAT）的跟踪管理，申请时间、打印时间、采样时间、接收时间、上机时间、报告时间的全流程统计跟踪，统计相关时间单位用时，优化业务流程提升标本在整个闭环内所需用时，以最快时间出具报告单并呈现给患者或医生手上。</w:t>
      </w:r>
    </w:p>
    <w:p w14:paraId="0CF1CDEA">
      <w:pPr>
        <w:ind w:firstLine="0" w:firstLineChars="0"/>
        <w:rPr>
          <w:b/>
          <w:bCs/>
        </w:rPr>
      </w:pPr>
      <w:bookmarkStart w:id="193" w:name="_Toc101401590"/>
      <w:r>
        <w:rPr>
          <w:rFonts w:hint="eastAsia"/>
          <w:b/>
          <w:bCs/>
        </w:rPr>
        <w:t>8.检验报告各种打印功能（自助打印、病历归档打印）</w:t>
      </w:r>
      <w:bookmarkEnd w:id="193"/>
    </w:p>
    <w:p w14:paraId="109AF204">
      <w:pPr>
        <w:ind w:firstLine="640"/>
      </w:pPr>
      <w:r>
        <w:rPr>
          <w:rFonts w:hint="eastAsia"/>
        </w:rPr>
        <w:t>自助打印减少人工核对、分发报告环节，降低出错率，减少医疗隐患，大幅度的降低医护人员工作量。就诊者按需打印报告，节约不必要的耗材浪费，严格的安全机制，使患者只能打印或者下载其本人报告，防止隐私泄露。就诊者轮转率提高，医院资源也会得到更高效的利用，就医环境得到改善。自助设备输出的报告加载通过国家认证的电子签名信息，降低法律风险。</w:t>
      </w:r>
    </w:p>
    <w:p w14:paraId="75F86FD4">
      <w:pPr>
        <w:ind w:firstLine="0" w:firstLineChars="0"/>
        <w:rPr>
          <w:b/>
          <w:bCs/>
        </w:rPr>
      </w:pPr>
      <w:bookmarkStart w:id="194" w:name="_Toc101401591"/>
      <w:r>
        <w:rPr>
          <w:rFonts w:hint="eastAsia"/>
          <w:b/>
          <w:bCs/>
        </w:rPr>
        <w:t>9.检验试剂管理系统</w:t>
      </w:r>
      <w:bookmarkEnd w:id="194"/>
    </w:p>
    <w:p w14:paraId="084F9296">
      <w:pPr>
        <w:ind w:firstLine="640"/>
      </w:pPr>
      <w:r>
        <w:rPr>
          <w:rFonts w:hint="eastAsia"/>
        </w:rPr>
        <w:t>试剂进销存管理，提供试剂、耗材申请、入库、领用、库存超限、有效期报警、厂商与供应商信息、订购未到试剂等方面管理。耗材按库存使用量智能生成申请；每一盒试剂唯一条码全程条码追中溯源；可根据仪器联机自动核算试剂、耗材库存、损耗试剂、耗材入库领用情况统计汇总表。</w:t>
      </w:r>
    </w:p>
    <w:p w14:paraId="273DBBA6">
      <w:pPr>
        <w:ind w:firstLine="0" w:firstLineChars="0"/>
        <w:rPr>
          <w:b/>
          <w:bCs/>
        </w:rPr>
      </w:pPr>
      <w:bookmarkStart w:id="195" w:name="_Toc101401592"/>
      <w:r>
        <w:rPr>
          <w:rFonts w:hint="eastAsia"/>
          <w:b/>
          <w:bCs/>
        </w:rPr>
        <w:t>10.新增检验阅片报告功能</w:t>
      </w:r>
      <w:bookmarkEnd w:id="195"/>
    </w:p>
    <w:p w14:paraId="0A646056">
      <w:pPr>
        <w:ind w:firstLine="640"/>
      </w:pPr>
      <w:r>
        <w:rPr>
          <w:rFonts w:hint="eastAsia"/>
        </w:rPr>
        <w:t>常规检验报告基本都是仪器去完成，但还有一些特殊的检验需要通过人工镜检做分析，这里是会体现检验科的科研知识水平的，项目例如：骨髓、尿沉渣、染色体、FISH、流式细胞、粪便检验、唐氏筛查，遗传基因等。</w:t>
      </w:r>
    </w:p>
    <w:p w14:paraId="055D07AF">
      <w:pPr>
        <w:ind w:firstLine="0" w:firstLineChars="0"/>
        <w:rPr>
          <w:b/>
          <w:bCs/>
        </w:rPr>
      </w:pPr>
      <w:bookmarkStart w:id="196" w:name="_Toc101401593"/>
      <w:r>
        <w:rPr>
          <w:rFonts w:hint="eastAsia"/>
          <w:b/>
          <w:bCs/>
        </w:rPr>
        <w:t>11.基于检验科文件管理</w:t>
      </w:r>
      <w:bookmarkEnd w:id="196"/>
    </w:p>
    <w:p w14:paraId="4A107885">
      <w:pPr>
        <w:ind w:firstLine="640"/>
      </w:pPr>
      <w:r>
        <w:rPr>
          <w:rFonts w:hint="eastAsia"/>
        </w:rPr>
        <w:t>ISO15189要求实验室质量体系文件要建立内部和外部两类受控文件。内部受控文件分为四级，分别是质量手册、程序文件、SOP文件和质量记录；外部受控文件是指与实验室检测有关的外来技术性文件，包括国标、行业标准、相关法律法规等。为了确保科室所使用的体系文件的现行有效，需对其进行持续更新。</w:t>
      </w:r>
    </w:p>
    <w:p w14:paraId="31E87A1B">
      <w:pPr>
        <w:ind w:firstLine="640"/>
      </w:pPr>
      <w:r>
        <w:rPr>
          <w:rFonts w:hint="eastAsia"/>
        </w:rPr>
        <w:t>实验室无纸化管理的重要组成部分，通过文件模块，可以做到实验室受控文档与非受控文档管理的电子化，告别传统繁琐的纸质管理。</w:t>
      </w:r>
    </w:p>
    <w:p w14:paraId="69F69E71">
      <w:pPr>
        <w:ind w:firstLine="0" w:firstLineChars="0"/>
        <w:rPr>
          <w:b/>
          <w:bCs/>
        </w:rPr>
      </w:pPr>
      <w:bookmarkStart w:id="197" w:name="_Toc101401594"/>
      <w:r>
        <w:rPr>
          <w:rFonts w:hint="eastAsia"/>
          <w:b/>
          <w:bCs/>
        </w:rPr>
        <w:t>12.检验设备管理</w:t>
      </w:r>
      <w:bookmarkEnd w:id="197"/>
    </w:p>
    <w:p w14:paraId="632FDD23">
      <w:pPr>
        <w:ind w:firstLine="640"/>
      </w:pPr>
      <w:r>
        <w:rPr>
          <w:rFonts w:hint="eastAsia"/>
        </w:rPr>
        <w:t>由于常规的LIS系统缺乏对设备的管理，本系统增加了设备管理子模块，用于实验室对仪器设备进行的登记与管理维护，根据管理的阶段和方式不同，主要可以划分为：设备档案模块、调动记录模块、校准记录模块、报废记录模块、验收记录模块、不良记录模块、保养记录模块、保养内容维护模块、设备报表模块。</w:t>
      </w:r>
    </w:p>
    <w:p w14:paraId="232E3D58">
      <w:pPr>
        <w:ind w:firstLine="0" w:firstLineChars="0"/>
        <w:rPr>
          <w:b/>
          <w:bCs/>
        </w:rPr>
      </w:pPr>
      <w:bookmarkStart w:id="198" w:name="_Toc101401595"/>
      <w:r>
        <w:rPr>
          <w:rFonts w:hint="eastAsia"/>
          <w:b/>
          <w:bCs/>
        </w:rPr>
        <w:t>13.检验科室环境监控</w:t>
      </w:r>
      <w:bookmarkEnd w:id="198"/>
    </w:p>
    <w:p w14:paraId="76C157BD">
      <w:pPr>
        <w:ind w:firstLine="640"/>
      </w:pPr>
      <w:r>
        <w:rPr>
          <w:rFonts w:hint="eastAsia"/>
        </w:rPr>
        <w:t>实验室的环境条件，必须要能够避免对工作和检验的质量造成不良影响，同时使使用者舒适，并将发生伤害及职业性疾病的风险降至最低。应保护患者、员工和来访者，免受已知危险的伤害。这样，在日常的实验室管理中，需要对实验室的环境条件进行监测、控制并记录，宜注意无菌、灰尘、电磁干扰、辐射、湿度、电力供应、温度、声音和振动水平</w:t>
      </w:r>
      <w:r>
        <w:t>。</w:t>
      </w:r>
      <w:r>
        <w:rPr>
          <w:rFonts w:hint="eastAsia"/>
        </w:rPr>
        <w:t>本系统则提供了这样一个平台，用来监控、控制并记录实验室环境。</w:t>
      </w:r>
    </w:p>
    <w:p w14:paraId="713EC57A">
      <w:pPr>
        <w:pStyle w:val="4"/>
        <w:numPr>
          <w:ilvl w:val="1"/>
          <w:numId w:val="17"/>
        </w:numPr>
        <w:rPr>
          <w:szCs w:val="22"/>
        </w:rPr>
      </w:pPr>
      <w:r>
        <w:rPr>
          <w:rFonts w:hint="eastAsia"/>
          <w:szCs w:val="22"/>
        </w:rPr>
        <w:t>pacs系统</w:t>
      </w:r>
    </w:p>
    <w:p w14:paraId="634CEAC0">
      <w:pPr>
        <w:pStyle w:val="5"/>
      </w:pPr>
      <w:r>
        <w:rPr>
          <w:rFonts w:hint="eastAsia"/>
        </w:rPr>
        <w:t>区域影像索引服务</w:t>
      </w:r>
    </w:p>
    <w:p w14:paraId="582E790A">
      <w:pPr>
        <w:ind w:firstLine="640"/>
        <w:rPr>
          <w:rFonts w:hint="eastAsia" w:ascii="仿宋" w:hAnsi="仿宋" w:cs="仿宋"/>
          <w:szCs w:val="32"/>
        </w:rPr>
      </w:pPr>
      <w:r>
        <w:rPr>
          <w:rFonts w:hint="eastAsia" w:ascii="仿宋" w:hAnsi="仿宋" w:cs="仿宋"/>
          <w:szCs w:val="32"/>
        </w:rPr>
        <w:t>区域影像索引服务（MPI，Master Patient Index）用于处理医学影像区域服务平台内与数据定位和管理相关的复杂任务，包括相关的患者索引信息。索引链接到产生不同存储服务的服务点，这些服务点产生了特定的个人、医疗卫生人员或者医疗卫生机构，以及实时的业务数据。索引服务负责分析来自外部资源的信息并存储库中，反向地响应外部医疗卫生服务点的检索、汇聚和返回数据。</w:t>
      </w:r>
    </w:p>
    <w:p w14:paraId="76B96051">
      <w:pPr>
        <w:ind w:firstLine="864" w:firstLineChars="270"/>
        <w:rPr>
          <w:rFonts w:hint="eastAsia" w:ascii="仿宋" w:hAnsi="仿宋" w:cs="仿宋"/>
          <w:szCs w:val="32"/>
        </w:rPr>
      </w:pPr>
      <w:r>
        <w:rPr>
          <w:rFonts w:hint="eastAsia" w:ascii="仿宋" w:hAnsi="仿宋" w:cs="仿宋"/>
          <w:szCs w:val="32"/>
        </w:rPr>
        <w:t>区域影像索引服务全面掌握医学影像区域服务平台所有关于患者的检查信息事件，包括患者何时、何地、接受过何种检查服务，并产生了哪些文档。索引服务主要记录两大类的信息，一是患者诊疗事件信息，另一为文档目录信息。医学影像区域服务平台用户在被授权的情况下，可以通过应用服务提供的索引服务从基本业务系统查看患者诊疗事件信息，以及诊疗事件信息所涉及的文档目录和影像信息。</w:t>
      </w:r>
    </w:p>
    <w:p w14:paraId="40C003B2">
      <w:pPr>
        <w:numPr>
          <w:ilvl w:val="0"/>
          <w:numId w:val="18"/>
        </w:numPr>
        <w:ind w:firstLine="640"/>
        <w:rPr>
          <w:rFonts w:hint="eastAsia" w:ascii="仿宋" w:hAnsi="仿宋" w:cs="仿宋"/>
          <w:szCs w:val="32"/>
        </w:rPr>
      </w:pPr>
      <w:r>
        <w:rPr>
          <w:rFonts w:hint="eastAsia" w:ascii="仿宋" w:hAnsi="仿宋" w:cs="仿宋"/>
          <w:szCs w:val="32"/>
        </w:rPr>
        <w:t>存储空间模型规划要求</w:t>
      </w:r>
    </w:p>
    <w:p w14:paraId="109CA6FF">
      <w:pPr>
        <w:numPr>
          <w:ilvl w:val="0"/>
          <w:numId w:val="19"/>
        </w:numPr>
        <w:ind w:firstLine="640"/>
        <w:rPr>
          <w:rFonts w:hint="eastAsia" w:ascii="仿宋" w:hAnsi="仿宋" w:cs="仿宋"/>
          <w:szCs w:val="32"/>
        </w:rPr>
      </w:pPr>
      <w:r>
        <w:rPr>
          <w:rFonts w:hint="eastAsia" w:ascii="仿宋" w:hAnsi="仿宋" w:cs="仿宋"/>
          <w:szCs w:val="32"/>
        </w:rPr>
        <w:t>单个患者的 MPI 空间模型</w:t>
      </w:r>
    </w:p>
    <w:p w14:paraId="6DB0B606">
      <w:pPr>
        <w:numPr>
          <w:ilvl w:val="0"/>
          <w:numId w:val="19"/>
        </w:numPr>
        <w:ind w:firstLine="640"/>
        <w:rPr>
          <w:rFonts w:hint="eastAsia" w:ascii="仿宋" w:hAnsi="仿宋" w:cs="仿宋"/>
          <w:szCs w:val="32"/>
        </w:rPr>
      </w:pPr>
      <w:r>
        <w:rPr>
          <w:rFonts w:hint="eastAsia" w:ascii="仿宋" w:hAnsi="仿宋" w:cs="仿宋"/>
          <w:szCs w:val="32"/>
        </w:rPr>
        <w:t>医疗机构（医院）内 MPI 空间模型</w:t>
      </w:r>
    </w:p>
    <w:p w14:paraId="52C41AE7">
      <w:pPr>
        <w:numPr>
          <w:ilvl w:val="0"/>
          <w:numId w:val="19"/>
        </w:numPr>
        <w:ind w:firstLine="640"/>
        <w:rPr>
          <w:rFonts w:hint="eastAsia" w:ascii="仿宋" w:hAnsi="仿宋" w:cs="仿宋"/>
          <w:szCs w:val="32"/>
        </w:rPr>
      </w:pPr>
      <w:r>
        <w:rPr>
          <w:rFonts w:hint="eastAsia" w:ascii="仿宋" w:hAnsi="仿宋" w:cs="仿宋"/>
          <w:szCs w:val="32"/>
        </w:rPr>
        <w:t>区域间 MPI 空间模型</w:t>
      </w:r>
    </w:p>
    <w:p w14:paraId="73685893">
      <w:pPr>
        <w:numPr>
          <w:ilvl w:val="0"/>
          <w:numId w:val="18"/>
        </w:numPr>
        <w:ind w:firstLine="640"/>
        <w:rPr>
          <w:rFonts w:hint="eastAsia" w:ascii="仿宋" w:hAnsi="仿宋" w:cs="仿宋"/>
          <w:szCs w:val="32"/>
        </w:rPr>
      </w:pPr>
      <w:r>
        <w:rPr>
          <w:rFonts w:hint="eastAsia" w:ascii="仿宋" w:hAnsi="仿宋" w:cs="仿宋"/>
          <w:szCs w:val="32"/>
        </w:rPr>
        <w:t>算法特性规划要求</w:t>
      </w:r>
    </w:p>
    <w:p w14:paraId="06EFB6DA">
      <w:pPr>
        <w:numPr>
          <w:ilvl w:val="0"/>
          <w:numId w:val="20"/>
        </w:numPr>
        <w:ind w:firstLine="640"/>
        <w:rPr>
          <w:rFonts w:hint="eastAsia" w:ascii="仿宋" w:hAnsi="仿宋" w:cs="仿宋"/>
          <w:szCs w:val="32"/>
        </w:rPr>
      </w:pPr>
      <w:r>
        <w:rPr>
          <w:rFonts w:hint="eastAsia" w:ascii="仿宋" w:hAnsi="仿宋" w:cs="仿宋"/>
          <w:szCs w:val="32"/>
        </w:rPr>
        <w:t>MPI 交叉索引（PIX）的建立</w:t>
      </w:r>
    </w:p>
    <w:p w14:paraId="5687234B">
      <w:pPr>
        <w:numPr>
          <w:ilvl w:val="0"/>
          <w:numId w:val="20"/>
        </w:numPr>
        <w:ind w:firstLine="640"/>
        <w:rPr>
          <w:rFonts w:hint="eastAsia" w:ascii="仿宋" w:hAnsi="仿宋" w:cs="仿宋"/>
          <w:szCs w:val="32"/>
        </w:rPr>
      </w:pPr>
      <w:r>
        <w:rPr>
          <w:rFonts w:hint="eastAsia" w:ascii="仿宋" w:hAnsi="仿宋" w:cs="仿宋"/>
          <w:szCs w:val="32"/>
        </w:rPr>
        <w:t>MPI 关联索引的建立和分离</w:t>
      </w:r>
    </w:p>
    <w:p w14:paraId="52D328B1">
      <w:pPr>
        <w:numPr>
          <w:ilvl w:val="0"/>
          <w:numId w:val="20"/>
        </w:numPr>
        <w:ind w:firstLine="640"/>
        <w:rPr>
          <w:rFonts w:hint="eastAsia" w:ascii="仿宋" w:hAnsi="仿宋" w:cs="仿宋"/>
          <w:szCs w:val="32"/>
        </w:rPr>
      </w:pPr>
      <w:r>
        <w:rPr>
          <w:rFonts w:hint="eastAsia" w:ascii="仿宋" w:hAnsi="仿宋" w:cs="仿宋"/>
          <w:szCs w:val="32"/>
        </w:rPr>
        <w:t>数据库设计与算法分离</w:t>
      </w:r>
    </w:p>
    <w:p w14:paraId="07C35EF4">
      <w:pPr>
        <w:numPr>
          <w:ilvl w:val="0"/>
          <w:numId w:val="18"/>
        </w:numPr>
        <w:ind w:firstLine="640"/>
        <w:rPr>
          <w:rFonts w:hint="eastAsia" w:ascii="仿宋" w:hAnsi="仿宋" w:cs="仿宋"/>
          <w:szCs w:val="32"/>
        </w:rPr>
      </w:pPr>
      <w:r>
        <w:rPr>
          <w:rFonts w:hint="eastAsia" w:ascii="仿宋" w:hAnsi="仿宋" w:cs="仿宋"/>
          <w:szCs w:val="32"/>
        </w:rPr>
        <w:t>与区域主索引关联规划要求</w:t>
      </w:r>
    </w:p>
    <w:p w14:paraId="48F9092B">
      <w:pPr>
        <w:numPr>
          <w:ilvl w:val="0"/>
          <w:numId w:val="21"/>
        </w:numPr>
        <w:ind w:firstLine="640"/>
        <w:rPr>
          <w:rFonts w:hint="eastAsia" w:ascii="仿宋" w:hAnsi="仿宋" w:cs="仿宋"/>
          <w:szCs w:val="32"/>
        </w:rPr>
      </w:pPr>
      <w:r>
        <w:rPr>
          <w:rFonts w:hint="eastAsia" w:ascii="仿宋" w:hAnsi="仿宋" w:cs="仿宋"/>
          <w:szCs w:val="32"/>
        </w:rPr>
        <w:t>关联索引的建立</w:t>
      </w:r>
    </w:p>
    <w:p w14:paraId="58620F97">
      <w:pPr>
        <w:numPr>
          <w:ilvl w:val="0"/>
          <w:numId w:val="21"/>
        </w:numPr>
        <w:ind w:firstLine="640"/>
        <w:rPr>
          <w:rFonts w:hint="eastAsia" w:ascii="仿宋" w:hAnsi="仿宋" w:cs="仿宋"/>
          <w:szCs w:val="32"/>
        </w:rPr>
      </w:pPr>
      <w:r>
        <w:rPr>
          <w:rFonts w:hint="eastAsia" w:ascii="仿宋" w:hAnsi="仿宋" w:cs="仿宋"/>
          <w:szCs w:val="32"/>
        </w:rPr>
        <w:t>交互语意、语法的规范，策略配制</w:t>
      </w:r>
    </w:p>
    <w:p w14:paraId="356DE1A8">
      <w:pPr>
        <w:numPr>
          <w:ilvl w:val="0"/>
          <w:numId w:val="21"/>
        </w:numPr>
        <w:ind w:firstLine="640"/>
        <w:rPr>
          <w:rFonts w:hint="eastAsia" w:ascii="仿宋" w:hAnsi="仿宋" w:cs="仿宋"/>
          <w:szCs w:val="32"/>
        </w:rPr>
      </w:pPr>
      <w:r>
        <w:rPr>
          <w:rFonts w:hint="eastAsia" w:ascii="仿宋" w:hAnsi="仿宋" w:cs="仿宋"/>
          <w:szCs w:val="32"/>
        </w:rPr>
        <w:t>索引的作用域处理</w:t>
      </w:r>
    </w:p>
    <w:p w14:paraId="4A25CB8E">
      <w:pPr>
        <w:pStyle w:val="5"/>
      </w:pPr>
      <w:r>
        <w:rPr>
          <w:rFonts w:hint="eastAsia"/>
        </w:rPr>
        <w:t>通讯总线服务</w:t>
      </w:r>
    </w:p>
    <w:p w14:paraId="08B8C4B2">
      <w:pPr>
        <w:ind w:firstLine="640"/>
        <w:rPr>
          <w:rFonts w:hint="eastAsia" w:ascii="仿宋" w:hAnsi="仿宋" w:cs="仿宋"/>
          <w:szCs w:val="32"/>
        </w:rPr>
      </w:pPr>
      <w:r>
        <w:rPr>
          <w:rFonts w:hint="eastAsia" w:ascii="仿宋" w:hAnsi="仿宋" w:cs="仿宋"/>
          <w:szCs w:val="32"/>
        </w:rPr>
        <w:t>通信总线服务支持数据存储服务、业务管理、辅助决策以及与基本业务系统和浏览终端之间的底层通信。主要服务组件包括消息服务和协议服务。</w:t>
      </w:r>
    </w:p>
    <w:p w14:paraId="285ACE5A">
      <w:pPr>
        <w:numPr>
          <w:ilvl w:val="0"/>
          <w:numId w:val="21"/>
        </w:numPr>
        <w:ind w:firstLine="640"/>
        <w:rPr>
          <w:rFonts w:hint="eastAsia" w:ascii="仿宋" w:hAnsi="仿宋" w:cs="仿宋"/>
          <w:szCs w:val="32"/>
        </w:rPr>
      </w:pPr>
      <w:r>
        <w:rPr>
          <w:rFonts w:hint="eastAsia" w:ascii="仿宋" w:hAnsi="仿宋" w:cs="仿宋"/>
          <w:szCs w:val="32"/>
        </w:rPr>
        <w:t>消息服务组件：由处理消息内容的服务所组成，该消息的应用和网络协议的封装已经被协议服务组件所分离。这个组件中的服务包括解析、串行化、加密和解密、编码和解码、转换和路由功能。</w:t>
      </w:r>
    </w:p>
    <w:p w14:paraId="1451F51E">
      <w:pPr>
        <w:numPr>
          <w:ilvl w:val="0"/>
          <w:numId w:val="21"/>
        </w:numPr>
        <w:ind w:firstLine="640"/>
        <w:rPr>
          <w:rFonts w:hint="eastAsia" w:ascii="仿宋" w:hAnsi="仿宋" w:cs="仿宋"/>
          <w:szCs w:val="32"/>
        </w:rPr>
      </w:pPr>
      <w:r>
        <w:rPr>
          <w:rFonts w:hint="eastAsia" w:ascii="仿宋" w:hAnsi="仿宋" w:cs="仿宋"/>
          <w:szCs w:val="32"/>
        </w:rPr>
        <w:t>协议服务组件：用来处理网络、传输和应用层协议。这些服务支持可热部署模块，以支持各种应用级协议，如 Web Services（WS-I）、ebXML、SOAP 和远程调用协议，如RMI、DCOM、.NET 等。</w:t>
      </w:r>
    </w:p>
    <w:p w14:paraId="155C8649">
      <w:pPr>
        <w:ind w:firstLine="640"/>
        <w:rPr>
          <w:rFonts w:hint="eastAsia" w:ascii="仿宋" w:hAnsi="仿宋" w:cs="仿宋"/>
          <w:szCs w:val="32"/>
        </w:rPr>
      </w:pPr>
      <w:r>
        <w:rPr>
          <w:rFonts w:hint="eastAsia" w:ascii="仿宋" w:hAnsi="仿宋" w:cs="仿宋"/>
          <w:szCs w:val="32"/>
        </w:rPr>
        <w:t>数据通讯总线是前端和后端业务实现的纽带和桥梁，负责数据交换和通讯资源的管理，提供对通讯路由和业务路由的支持。</w:t>
      </w:r>
    </w:p>
    <w:p w14:paraId="21202711">
      <w:pPr>
        <w:pStyle w:val="5"/>
      </w:pPr>
      <w:r>
        <w:rPr>
          <w:rFonts w:hint="eastAsia"/>
        </w:rPr>
        <w:t>数据整合服务</w:t>
      </w:r>
    </w:p>
    <w:p w14:paraId="6D3D0EE6">
      <w:pPr>
        <w:ind w:firstLine="640"/>
        <w:rPr>
          <w:rFonts w:hint="eastAsia" w:ascii="仿宋" w:hAnsi="仿宋" w:cs="仿宋"/>
          <w:szCs w:val="32"/>
        </w:rPr>
      </w:pPr>
      <w:r>
        <w:rPr>
          <w:rFonts w:hint="eastAsia" w:ascii="仿宋" w:hAnsi="仿宋" w:cs="仿宋"/>
          <w:szCs w:val="32"/>
        </w:rPr>
        <w:t>区域PACS服务平台集成了数据存储、数据校验、数据归档、数据发布和接口管理等数据整合服务。</w:t>
      </w:r>
    </w:p>
    <w:p w14:paraId="15E02DD2">
      <w:pPr>
        <w:numPr>
          <w:ilvl w:val="0"/>
          <w:numId w:val="22"/>
        </w:numPr>
        <w:ind w:firstLine="640"/>
        <w:rPr>
          <w:rFonts w:hint="eastAsia" w:ascii="仿宋" w:hAnsi="仿宋" w:cs="仿宋"/>
          <w:szCs w:val="32"/>
        </w:rPr>
      </w:pPr>
      <w:r>
        <w:rPr>
          <w:rFonts w:hint="eastAsia" w:ascii="仿宋" w:hAnsi="仿宋" w:cs="仿宋"/>
          <w:szCs w:val="32"/>
        </w:rPr>
        <w:t>数据存储</w:t>
      </w:r>
    </w:p>
    <w:p w14:paraId="0C710863">
      <w:pPr>
        <w:ind w:firstLine="640"/>
        <w:rPr>
          <w:rFonts w:hint="eastAsia" w:ascii="仿宋" w:hAnsi="仿宋" w:cs="仿宋"/>
          <w:szCs w:val="32"/>
        </w:rPr>
      </w:pPr>
      <w:r>
        <w:rPr>
          <w:rFonts w:hint="eastAsia" w:ascii="仿宋" w:hAnsi="仿宋" w:cs="仿宋"/>
          <w:szCs w:val="32"/>
        </w:rPr>
        <w:t>pacs服务平台影像数据要求格式统一标准、集中存储，以DICOM文件格式存储。</w:t>
      </w:r>
    </w:p>
    <w:p w14:paraId="123C0526">
      <w:pPr>
        <w:numPr>
          <w:ilvl w:val="0"/>
          <w:numId w:val="22"/>
        </w:numPr>
        <w:ind w:firstLine="640"/>
        <w:rPr>
          <w:rFonts w:hint="eastAsia" w:ascii="仿宋" w:hAnsi="仿宋" w:cs="仿宋"/>
          <w:szCs w:val="32"/>
        </w:rPr>
      </w:pPr>
      <w:r>
        <w:rPr>
          <w:rFonts w:hint="eastAsia" w:ascii="仿宋" w:hAnsi="仿宋" w:cs="仿宋"/>
          <w:szCs w:val="32"/>
        </w:rPr>
        <w:t>数据校验</w:t>
      </w:r>
    </w:p>
    <w:p w14:paraId="74C7631E">
      <w:pPr>
        <w:ind w:firstLine="640"/>
        <w:rPr>
          <w:rFonts w:hint="eastAsia" w:ascii="仿宋" w:hAnsi="仿宋" w:cs="仿宋"/>
          <w:szCs w:val="32"/>
        </w:rPr>
      </w:pPr>
      <w:r>
        <w:rPr>
          <w:rFonts w:hint="eastAsia" w:ascii="仿宋" w:hAnsi="仿宋" w:cs="仿宋"/>
          <w:szCs w:val="32"/>
        </w:rPr>
        <w:t>随着存储数据中心数据量不断增加，各种隐藏在数据中的问题也会逐渐暴露出来。为了保证数据中心的数据准确、完整，需要对数据的正确性和完整性进行必要的验证。</w:t>
      </w:r>
    </w:p>
    <w:p w14:paraId="467D3AA9">
      <w:pPr>
        <w:numPr>
          <w:ilvl w:val="0"/>
          <w:numId w:val="22"/>
        </w:numPr>
        <w:ind w:firstLine="640"/>
        <w:rPr>
          <w:rFonts w:hint="eastAsia" w:ascii="仿宋" w:hAnsi="仿宋" w:cs="仿宋"/>
          <w:szCs w:val="32"/>
        </w:rPr>
      </w:pPr>
      <w:r>
        <w:rPr>
          <w:rFonts w:hint="eastAsia" w:ascii="仿宋" w:hAnsi="仿宋" w:cs="仿宋"/>
          <w:szCs w:val="32"/>
        </w:rPr>
        <w:t>数据归档</w:t>
      </w:r>
    </w:p>
    <w:p w14:paraId="5F2CF022">
      <w:pPr>
        <w:ind w:firstLine="640"/>
        <w:rPr>
          <w:rFonts w:hint="eastAsia" w:ascii="仿宋" w:hAnsi="仿宋" w:cs="仿宋"/>
          <w:szCs w:val="32"/>
        </w:rPr>
      </w:pPr>
      <w:r>
        <w:rPr>
          <w:rFonts w:hint="eastAsia" w:ascii="仿宋" w:hAnsi="仿宋" w:cs="仿宋"/>
          <w:szCs w:val="32"/>
        </w:rPr>
        <w:t>对已完成数据校验的医学影像数据进行归档存储。</w:t>
      </w:r>
    </w:p>
    <w:p w14:paraId="7E71B7A1">
      <w:pPr>
        <w:numPr>
          <w:ilvl w:val="0"/>
          <w:numId w:val="22"/>
        </w:numPr>
        <w:ind w:firstLine="640"/>
        <w:rPr>
          <w:rFonts w:hint="eastAsia" w:ascii="仿宋" w:hAnsi="仿宋" w:cs="仿宋"/>
          <w:szCs w:val="32"/>
        </w:rPr>
      </w:pPr>
      <w:r>
        <w:rPr>
          <w:rFonts w:hint="eastAsia" w:ascii="仿宋" w:hAnsi="仿宋" w:cs="仿宋"/>
          <w:szCs w:val="32"/>
        </w:rPr>
        <w:t>数据发布</w:t>
      </w:r>
    </w:p>
    <w:p w14:paraId="482949B7">
      <w:pPr>
        <w:ind w:firstLine="640"/>
        <w:rPr>
          <w:rFonts w:hint="eastAsia" w:ascii="仿宋" w:hAnsi="仿宋" w:cs="仿宋"/>
          <w:szCs w:val="32"/>
        </w:rPr>
      </w:pPr>
      <w:r>
        <w:rPr>
          <w:rFonts w:hint="eastAsia" w:ascii="仿宋" w:hAnsi="仿宋" w:cs="仿宋"/>
          <w:szCs w:val="32"/>
        </w:rPr>
        <w:t>对整合及归档的医学影像数据的应用发布，主要提供区域影像索引查询服务、对诊疗资料调阅服务、医学影像调阅服务等。</w:t>
      </w:r>
    </w:p>
    <w:p w14:paraId="307F5439">
      <w:pPr>
        <w:numPr>
          <w:ilvl w:val="0"/>
          <w:numId w:val="22"/>
        </w:numPr>
        <w:ind w:firstLine="640"/>
        <w:rPr>
          <w:rFonts w:hint="eastAsia" w:ascii="仿宋" w:hAnsi="仿宋" w:cs="仿宋"/>
          <w:szCs w:val="32"/>
        </w:rPr>
      </w:pPr>
      <w:r>
        <w:rPr>
          <w:rFonts w:hint="eastAsia" w:ascii="仿宋" w:hAnsi="仿宋" w:cs="仿宋"/>
          <w:szCs w:val="32"/>
        </w:rPr>
        <w:t>接口管理</w:t>
      </w:r>
    </w:p>
    <w:p w14:paraId="0C2FCE8E">
      <w:pPr>
        <w:ind w:firstLine="640"/>
        <w:rPr>
          <w:rFonts w:hint="eastAsia" w:ascii="仿宋" w:hAnsi="仿宋" w:cs="仿宋"/>
          <w:szCs w:val="32"/>
        </w:rPr>
      </w:pPr>
      <w:r>
        <w:rPr>
          <w:rFonts w:hint="eastAsia" w:ascii="仿宋" w:hAnsi="仿宋" w:cs="仿宋"/>
          <w:szCs w:val="32"/>
        </w:rPr>
        <w:t>提供接口管理工具对医院标准数据接口进行集中管理。为医学影像区域服务平台与区域其他应用平台之间提供接口和数据通讯服务。</w:t>
      </w:r>
    </w:p>
    <w:p w14:paraId="0FD9B49A">
      <w:pPr>
        <w:pStyle w:val="5"/>
      </w:pPr>
      <w:r>
        <w:rPr>
          <w:rFonts w:hint="eastAsia"/>
        </w:rPr>
        <w:t>注册服务</w:t>
      </w:r>
    </w:p>
    <w:p w14:paraId="08573967">
      <w:pPr>
        <w:ind w:firstLine="640"/>
        <w:rPr>
          <w:rFonts w:hint="eastAsia" w:ascii="仿宋" w:hAnsi="仿宋" w:cs="仿宋"/>
          <w:szCs w:val="32"/>
        </w:rPr>
      </w:pPr>
      <w:r>
        <w:rPr>
          <w:rFonts w:hint="eastAsia" w:ascii="仿宋" w:hAnsi="仿宋" w:cs="仿宋"/>
          <w:szCs w:val="32"/>
        </w:rPr>
        <w:t>实现个人注册服务，医疗卫生人员注册服务，医疗卫生机构注册服务和医学影像术语和字典注册服务，以达到区域内各个pacs系统之间数据的共享。</w:t>
      </w:r>
    </w:p>
    <w:p w14:paraId="247A6AC6">
      <w:pPr>
        <w:ind w:firstLine="640"/>
        <w:rPr>
          <w:rFonts w:hint="eastAsia" w:ascii="仿宋" w:hAnsi="仿宋" w:cs="仿宋"/>
          <w:szCs w:val="32"/>
        </w:rPr>
      </w:pPr>
      <w:r>
        <w:rPr>
          <w:rFonts w:hint="eastAsia" w:ascii="仿宋" w:hAnsi="仿宋" w:cs="仿宋"/>
          <w:szCs w:val="32"/>
        </w:rPr>
        <w:t>个人注册服务为医学影像区域服务平台使用，并可为医疗就诊及医疗影像的业务系统提供人员身份识别功能。</w:t>
      </w:r>
    </w:p>
    <w:p w14:paraId="2C29F972">
      <w:pPr>
        <w:ind w:firstLine="640"/>
        <w:rPr>
          <w:rFonts w:hint="eastAsia" w:ascii="仿宋" w:hAnsi="仿宋" w:cs="仿宋"/>
          <w:szCs w:val="32"/>
        </w:rPr>
      </w:pPr>
      <w:r>
        <w:rPr>
          <w:rFonts w:hint="eastAsia" w:ascii="仿宋" w:hAnsi="仿宋" w:cs="仿宋"/>
          <w:szCs w:val="32"/>
        </w:rPr>
        <w:t>医疗卫生人员注册服务为无锡区域内所有医疗机构的医务人员注册服务，包括影像科医生、检查技师等医学影像专业人员及有访问医学影像数据需求的临床医生，为每一位人员分配一个唯一的标识。</w:t>
      </w:r>
    </w:p>
    <w:p w14:paraId="02CE8432">
      <w:pPr>
        <w:ind w:firstLine="640"/>
        <w:rPr>
          <w:rFonts w:hint="eastAsia" w:ascii="仿宋" w:hAnsi="仿宋" w:cs="仿宋"/>
          <w:szCs w:val="32"/>
        </w:rPr>
      </w:pPr>
      <w:r>
        <w:rPr>
          <w:rFonts w:hint="eastAsia" w:ascii="仿宋" w:hAnsi="仿宋" w:cs="仿宋"/>
          <w:szCs w:val="32"/>
        </w:rPr>
        <w:t>建立医疗卫生机构注册库，提供医疗机构的综合目录，为每个医院分配唯一的标识， 解决所获取的医学影像数据来源机构的唯一性识别，从而保证在维护居民医学影像检查信息的不同系统中使用统一的规范化的标识符，同时满足医学影像区域服务平台层与下属医疗服务点的互联互通要求。</w:t>
      </w:r>
    </w:p>
    <w:p w14:paraId="2BAC82A1">
      <w:pPr>
        <w:pStyle w:val="5"/>
      </w:pPr>
      <w:r>
        <w:rPr>
          <w:rFonts w:hint="eastAsia"/>
        </w:rPr>
        <w:t>平台管理</w:t>
      </w:r>
    </w:p>
    <w:p w14:paraId="47260038">
      <w:pPr>
        <w:ind w:firstLine="640"/>
        <w:rPr>
          <w:rFonts w:hint="eastAsia" w:ascii="仿宋" w:hAnsi="仿宋" w:cs="仿宋"/>
          <w:szCs w:val="32"/>
        </w:rPr>
      </w:pPr>
      <w:r>
        <w:rPr>
          <w:rFonts w:hint="eastAsia" w:ascii="仿宋" w:hAnsi="仿宋" w:cs="仿宋"/>
          <w:szCs w:val="32"/>
        </w:rPr>
        <w:t>实现标准及规范建设和安全访问与隐私保护。</w:t>
      </w:r>
    </w:p>
    <w:p w14:paraId="1EA9ECA8">
      <w:pPr>
        <w:ind w:firstLine="640"/>
        <w:rPr>
          <w:rFonts w:hint="eastAsia" w:ascii="仿宋" w:hAnsi="仿宋" w:cs="仿宋"/>
          <w:szCs w:val="32"/>
        </w:rPr>
      </w:pPr>
      <w:r>
        <w:rPr>
          <w:rFonts w:hint="eastAsia" w:ascii="仿宋" w:hAnsi="仿宋" w:cs="仿宋"/>
          <w:szCs w:val="32"/>
        </w:rPr>
        <w:t>医学影像区域服务平台作为区域卫生信息化建设的一部分，数据标准和规范体系以遵循国际通行标准和国家医疗信息相关标准为基础进行建设，遵循的国内、国际标准及规范如下:</w:t>
      </w:r>
    </w:p>
    <w:p w14:paraId="750F0FDD">
      <w:pPr>
        <w:numPr>
          <w:ilvl w:val="0"/>
          <w:numId w:val="23"/>
        </w:numPr>
        <w:ind w:firstLine="640"/>
        <w:rPr>
          <w:rFonts w:hint="eastAsia" w:ascii="仿宋" w:hAnsi="仿宋" w:cs="仿宋"/>
          <w:szCs w:val="32"/>
        </w:rPr>
      </w:pPr>
      <w:r>
        <w:rPr>
          <w:rFonts w:hint="eastAsia" w:ascii="仿宋" w:hAnsi="仿宋" w:cs="仿宋"/>
          <w:szCs w:val="32"/>
        </w:rPr>
        <w:t>国家和卫生机构颁布的医疗卫生信息化标准、规范、技术解决方案等</w:t>
      </w:r>
    </w:p>
    <w:p w14:paraId="3F46E005">
      <w:pPr>
        <w:numPr>
          <w:ilvl w:val="0"/>
          <w:numId w:val="23"/>
        </w:numPr>
        <w:ind w:firstLine="640"/>
        <w:rPr>
          <w:rFonts w:hint="eastAsia" w:ascii="仿宋" w:hAnsi="仿宋" w:cs="仿宋"/>
          <w:szCs w:val="32"/>
        </w:rPr>
      </w:pPr>
      <w:r>
        <w:rPr>
          <w:rFonts w:hint="eastAsia" w:ascii="仿宋" w:hAnsi="仿宋" w:cs="仿宋"/>
          <w:szCs w:val="32"/>
        </w:rPr>
        <w:t>DICOM 3.0 数字影像和通信标准</w:t>
      </w:r>
    </w:p>
    <w:p w14:paraId="48A2DAB5">
      <w:pPr>
        <w:numPr>
          <w:ilvl w:val="0"/>
          <w:numId w:val="23"/>
        </w:numPr>
        <w:ind w:firstLine="640"/>
        <w:rPr>
          <w:rFonts w:hint="eastAsia" w:ascii="仿宋" w:hAnsi="仿宋" w:cs="仿宋"/>
          <w:szCs w:val="32"/>
        </w:rPr>
      </w:pPr>
      <w:r>
        <w:rPr>
          <w:rFonts w:hint="eastAsia" w:ascii="仿宋" w:hAnsi="仿宋" w:cs="仿宋"/>
          <w:szCs w:val="32"/>
        </w:rPr>
        <w:t>HL7（Health Level 7）卫生信息交换标准</w:t>
      </w:r>
    </w:p>
    <w:p w14:paraId="3C8AB8D9">
      <w:pPr>
        <w:numPr>
          <w:ilvl w:val="0"/>
          <w:numId w:val="23"/>
        </w:numPr>
        <w:ind w:firstLine="640"/>
        <w:rPr>
          <w:rFonts w:hint="eastAsia" w:ascii="仿宋" w:hAnsi="仿宋" w:cs="仿宋"/>
          <w:szCs w:val="32"/>
        </w:rPr>
      </w:pPr>
      <w:r>
        <w:rPr>
          <w:rFonts w:hint="eastAsia" w:ascii="仿宋" w:hAnsi="仿宋" w:cs="仿宋"/>
          <w:szCs w:val="32"/>
        </w:rPr>
        <w:t>IHE（Integrating the Health Enterprise）医学信息交互集成技术框架</w:t>
      </w:r>
    </w:p>
    <w:p w14:paraId="03FDD1A1">
      <w:pPr>
        <w:numPr>
          <w:ilvl w:val="0"/>
          <w:numId w:val="23"/>
        </w:numPr>
        <w:ind w:firstLine="640"/>
        <w:rPr>
          <w:rFonts w:hint="eastAsia" w:ascii="仿宋" w:hAnsi="仿宋" w:cs="仿宋"/>
          <w:szCs w:val="32"/>
        </w:rPr>
      </w:pPr>
      <w:r>
        <w:rPr>
          <w:rFonts w:hint="eastAsia" w:ascii="仿宋" w:hAnsi="仿宋" w:cs="仿宋"/>
          <w:szCs w:val="32"/>
        </w:rPr>
        <w:t>支持 ICD-9、ICD-10 国际疾病分类</w:t>
      </w:r>
    </w:p>
    <w:p w14:paraId="79D20BD1">
      <w:pPr>
        <w:numPr>
          <w:ilvl w:val="0"/>
          <w:numId w:val="23"/>
        </w:numPr>
        <w:ind w:firstLine="640"/>
        <w:rPr>
          <w:rFonts w:hint="eastAsia" w:ascii="仿宋" w:hAnsi="仿宋" w:cs="仿宋"/>
          <w:szCs w:val="32"/>
        </w:rPr>
      </w:pPr>
      <w:r>
        <w:rPr>
          <w:rFonts w:hint="eastAsia" w:ascii="仿宋" w:hAnsi="仿宋" w:cs="仿宋"/>
          <w:szCs w:val="32"/>
        </w:rPr>
        <w:t>支持 XML、 Web Service 规范</w:t>
      </w:r>
    </w:p>
    <w:p w14:paraId="2C8EFA8B">
      <w:pPr>
        <w:numPr>
          <w:ilvl w:val="0"/>
          <w:numId w:val="23"/>
        </w:numPr>
        <w:ind w:firstLine="640"/>
        <w:rPr>
          <w:rFonts w:hint="eastAsia" w:ascii="仿宋" w:hAnsi="仿宋" w:cs="仿宋"/>
          <w:szCs w:val="32"/>
        </w:rPr>
      </w:pPr>
      <w:r>
        <w:rPr>
          <w:rFonts w:hint="eastAsia" w:ascii="仿宋" w:hAnsi="仿宋" w:cs="仿宋"/>
          <w:szCs w:val="32"/>
        </w:rPr>
        <w:t>CDA 临床文档结构规范</w:t>
      </w:r>
    </w:p>
    <w:p w14:paraId="5D2E7D10">
      <w:pPr>
        <w:pStyle w:val="7"/>
        <w:ind w:firstLine="480"/>
        <w:rPr>
          <w:rFonts w:hint="eastAsia" w:ascii="仿宋" w:hAnsi="仿宋" w:cs="仿宋"/>
          <w:szCs w:val="32"/>
        </w:rPr>
      </w:pPr>
      <w:r>
        <w:rPr>
          <w:rFonts w:hint="eastAsia" w:ascii="仿宋" w:hAnsi="仿宋" w:cs="仿宋"/>
          <w:szCs w:val="32"/>
        </w:rPr>
        <w:t>应用系统安全和隐私保护包括：身份认证、数字签名、授权机制、关键数据安全、用户管理等。</w:t>
      </w:r>
    </w:p>
    <w:p w14:paraId="7E9D3C74">
      <w:pPr>
        <w:pStyle w:val="7"/>
        <w:ind w:firstLine="480"/>
        <w:rPr>
          <w:rFonts w:hint="eastAsia" w:ascii="仿宋" w:hAnsi="仿宋" w:cs="仿宋"/>
          <w:szCs w:val="32"/>
        </w:rPr>
      </w:pPr>
      <w:r>
        <w:rPr>
          <w:rFonts w:hint="eastAsia" w:ascii="仿宋" w:hAnsi="仿宋" w:cs="仿宋"/>
          <w:szCs w:val="32"/>
        </w:rPr>
        <w:t>平台运行监控管理，监控系统的运行情况，设置监控告警和监控日志。</w:t>
      </w:r>
    </w:p>
    <w:p w14:paraId="39C189BD">
      <w:pPr>
        <w:pStyle w:val="5"/>
      </w:pPr>
      <w:r>
        <w:rPr>
          <w:rFonts w:hint="eastAsia"/>
        </w:rPr>
        <w:t>影像数据查询</w:t>
      </w:r>
    </w:p>
    <w:p w14:paraId="1FFC6880">
      <w:pPr>
        <w:pStyle w:val="7"/>
        <w:ind w:firstLine="480"/>
        <w:rPr>
          <w:rFonts w:hint="eastAsia" w:ascii="仿宋" w:hAnsi="仿宋" w:cs="仿宋"/>
          <w:szCs w:val="32"/>
        </w:rPr>
      </w:pPr>
      <w:r>
        <w:rPr>
          <w:rFonts w:hint="eastAsia" w:ascii="仿宋" w:hAnsi="仿宋" w:cs="仿宋"/>
          <w:szCs w:val="32"/>
        </w:rPr>
        <w:t>支持按医院查询；按患者基本信息查询；按多项组合条件查询等。</w:t>
      </w:r>
    </w:p>
    <w:p w14:paraId="35B4158B">
      <w:pPr>
        <w:pStyle w:val="4"/>
        <w:numPr>
          <w:ilvl w:val="1"/>
          <w:numId w:val="17"/>
        </w:numPr>
        <w:rPr>
          <w:szCs w:val="22"/>
        </w:rPr>
      </w:pPr>
      <w:r>
        <w:rPr>
          <w:rFonts w:hint="eastAsia"/>
          <w:szCs w:val="22"/>
        </w:rPr>
        <w:t>电子病历系统</w:t>
      </w:r>
    </w:p>
    <w:p w14:paraId="0308A7A6">
      <w:pPr>
        <w:pStyle w:val="5"/>
      </w:pPr>
      <w:r>
        <w:t>门诊病历系统</w:t>
      </w:r>
      <w:r>
        <w:tab/>
      </w:r>
    </w:p>
    <w:p w14:paraId="78B715D8">
      <w:pPr>
        <w:pStyle w:val="2"/>
        <w:ind w:firstLine="0" w:firstLineChars="0"/>
        <w:rPr>
          <w:rFonts w:hint="eastAsia" w:ascii="仿宋" w:hAnsi="仿宋" w:eastAsia="仿宋" w:cs="仿宋"/>
          <w:sz w:val="32"/>
          <w:szCs w:val="32"/>
        </w:rPr>
      </w:pPr>
      <w:r>
        <w:rPr>
          <w:rFonts w:hint="eastAsia" w:ascii="仿宋" w:hAnsi="仿宋" w:eastAsia="仿宋" w:cs="仿宋"/>
          <w:sz w:val="32"/>
          <w:szCs w:val="32"/>
        </w:rPr>
        <w:t>1.用户登录密码验证：支持用户编码和密码验证</w:t>
      </w:r>
    </w:p>
    <w:p w14:paraId="4019DF7E">
      <w:pPr>
        <w:pStyle w:val="2"/>
        <w:ind w:firstLine="0" w:firstLineChars="0"/>
        <w:rPr>
          <w:rFonts w:hint="eastAsia" w:ascii="仿宋" w:hAnsi="仿宋" w:eastAsia="仿宋" w:cs="仿宋"/>
          <w:sz w:val="32"/>
          <w:szCs w:val="32"/>
        </w:rPr>
      </w:pPr>
      <w:r>
        <w:rPr>
          <w:rFonts w:hint="eastAsia" w:ascii="仿宋" w:hAnsi="仿宋" w:eastAsia="仿宋" w:cs="仿宋"/>
          <w:sz w:val="32"/>
          <w:szCs w:val="32"/>
        </w:rPr>
        <w:t>2.用户自定义参数：包括界面风格定制、输入法定制等</w:t>
      </w:r>
    </w:p>
    <w:p w14:paraId="22C687EC">
      <w:pPr>
        <w:pStyle w:val="2"/>
        <w:ind w:firstLine="0" w:firstLineChars="0"/>
        <w:rPr>
          <w:rFonts w:hint="eastAsia" w:ascii="仿宋" w:hAnsi="仿宋" w:eastAsia="仿宋" w:cs="仿宋"/>
          <w:sz w:val="32"/>
          <w:szCs w:val="32"/>
        </w:rPr>
      </w:pPr>
      <w:r>
        <w:rPr>
          <w:rFonts w:hint="eastAsia" w:ascii="仿宋" w:hAnsi="仿宋" w:eastAsia="仿宋" w:cs="仿宋"/>
          <w:sz w:val="32"/>
          <w:szCs w:val="32"/>
        </w:rPr>
        <w:t>3.远程维护：填写门（急）诊病人的病历，并能够打印存档，支持病历模板预制功能。</w:t>
      </w:r>
    </w:p>
    <w:p w14:paraId="7071DDA8">
      <w:pPr>
        <w:pStyle w:val="2"/>
        <w:ind w:firstLine="0" w:firstLineChars="0"/>
        <w:rPr>
          <w:rFonts w:hint="eastAsia" w:ascii="仿宋" w:hAnsi="仿宋" w:eastAsia="仿宋" w:cs="仿宋"/>
          <w:sz w:val="32"/>
          <w:szCs w:val="32"/>
        </w:rPr>
      </w:pPr>
      <w:r>
        <w:rPr>
          <w:rFonts w:hint="eastAsia" w:ascii="仿宋" w:hAnsi="仿宋" w:eastAsia="仿宋" w:cs="仿宋"/>
          <w:sz w:val="32"/>
          <w:szCs w:val="32"/>
        </w:rPr>
        <w:t>4.密码修改：支持对个人密码进行修改</w:t>
      </w:r>
    </w:p>
    <w:p w14:paraId="1818E017">
      <w:pPr>
        <w:pStyle w:val="2"/>
        <w:ind w:firstLine="0" w:firstLineChars="0"/>
        <w:rPr>
          <w:rFonts w:hint="eastAsia" w:ascii="仿宋" w:hAnsi="仿宋" w:eastAsia="仿宋" w:cs="仿宋"/>
          <w:sz w:val="32"/>
          <w:szCs w:val="32"/>
        </w:rPr>
      </w:pPr>
      <w:r>
        <w:rPr>
          <w:rFonts w:hint="eastAsia" w:ascii="仿宋" w:hAnsi="仿宋" w:eastAsia="仿宋" w:cs="仿宋"/>
          <w:sz w:val="32"/>
          <w:szCs w:val="32"/>
        </w:rPr>
        <w:t>5.门诊病历功能：填写门诊病人的病历，并能够打印存档，支持病历模板预制功能。</w:t>
      </w:r>
    </w:p>
    <w:p w14:paraId="2933B54E">
      <w:pPr>
        <w:pStyle w:val="2"/>
        <w:ind w:firstLine="0" w:firstLineChars="0"/>
        <w:rPr>
          <w:rFonts w:hint="eastAsia" w:ascii="仿宋" w:hAnsi="仿宋" w:eastAsia="仿宋" w:cs="仿宋"/>
          <w:sz w:val="32"/>
          <w:szCs w:val="32"/>
        </w:rPr>
      </w:pPr>
      <w:r>
        <w:rPr>
          <w:rFonts w:hint="eastAsia" w:ascii="仿宋" w:hAnsi="仿宋" w:eastAsia="仿宋" w:cs="仿宋"/>
          <w:sz w:val="32"/>
          <w:szCs w:val="32"/>
        </w:rPr>
        <w:t>6.历史病历、病案查阅：查阅病人所有历史的病历。</w:t>
      </w:r>
    </w:p>
    <w:p w14:paraId="71F8F54C">
      <w:pPr>
        <w:pStyle w:val="2"/>
        <w:ind w:firstLine="0" w:firstLineChars="0"/>
        <w:rPr>
          <w:rFonts w:hint="eastAsia" w:ascii="仿宋" w:hAnsi="仿宋" w:eastAsia="仿宋" w:cs="仿宋"/>
          <w:sz w:val="32"/>
          <w:szCs w:val="32"/>
        </w:rPr>
      </w:pPr>
      <w:r>
        <w:rPr>
          <w:rFonts w:hint="eastAsia" w:ascii="仿宋" w:hAnsi="仿宋" w:eastAsia="仿宋" w:cs="仿宋"/>
          <w:sz w:val="32"/>
          <w:szCs w:val="32"/>
        </w:rPr>
        <w:t>7.病人注册与登记：从HIS系统中读取挂号等相关信息并补充填写、修改病人的基本信息。</w:t>
      </w:r>
    </w:p>
    <w:p w14:paraId="4D482B29">
      <w:pPr>
        <w:pStyle w:val="2"/>
        <w:ind w:firstLine="0" w:firstLineChars="0"/>
        <w:rPr>
          <w:rFonts w:hint="eastAsia" w:ascii="仿宋" w:hAnsi="仿宋" w:eastAsia="仿宋" w:cs="仿宋"/>
          <w:sz w:val="32"/>
          <w:szCs w:val="32"/>
        </w:rPr>
      </w:pPr>
      <w:r>
        <w:rPr>
          <w:rFonts w:hint="eastAsia" w:ascii="仿宋" w:hAnsi="仿宋" w:eastAsia="仿宋" w:cs="仿宋"/>
          <w:sz w:val="32"/>
          <w:szCs w:val="32"/>
        </w:rPr>
        <w:t>8.处方：可以下达各类处方，如药品、手术、处置、检查申请等。其中，所有医嘱中的计价信息需要和HIS系统进行对接，药品医嘱的信息需要和医院药房管理系统连接。 支持门诊套餐、协定处方录入。</w:t>
      </w:r>
    </w:p>
    <w:p w14:paraId="06827328">
      <w:pPr>
        <w:pStyle w:val="2"/>
        <w:ind w:firstLine="0" w:firstLineChars="0"/>
        <w:rPr>
          <w:rFonts w:hint="eastAsia" w:ascii="仿宋" w:hAnsi="仿宋" w:eastAsia="仿宋" w:cs="仿宋"/>
          <w:sz w:val="32"/>
          <w:szCs w:val="32"/>
        </w:rPr>
      </w:pPr>
      <w:r>
        <w:rPr>
          <w:rFonts w:hint="eastAsia" w:ascii="仿宋" w:hAnsi="仿宋" w:eastAsia="仿宋" w:cs="仿宋"/>
          <w:sz w:val="32"/>
          <w:szCs w:val="32"/>
        </w:rPr>
        <w:t>9.检验申请：直接向LIS系统发送检验项目的电子申请，并能够查阅检查结果，要求数据全部保存在EMR系统。</w:t>
      </w:r>
    </w:p>
    <w:p w14:paraId="7F8FE533">
      <w:pPr>
        <w:pStyle w:val="2"/>
        <w:ind w:firstLine="0" w:firstLineChars="0"/>
        <w:rPr>
          <w:rFonts w:hint="eastAsia" w:ascii="仿宋" w:hAnsi="仿宋" w:eastAsia="仿宋" w:cs="仿宋"/>
          <w:sz w:val="32"/>
          <w:szCs w:val="32"/>
        </w:rPr>
      </w:pPr>
      <w:r>
        <w:rPr>
          <w:rFonts w:hint="eastAsia" w:ascii="仿宋" w:hAnsi="仿宋" w:eastAsia="仿宋" w:cs="仿宋"/>
          <w:sz w:val="32"/>
          <w:szCs w:val="32"/>
        </w:rPr>
        <w:t>10.检查申请：直接向PACS系统提出检查项目的电子申请单(含简要病史\体检及检查目的)，并能够查阅检查报告，调阅影像显示，要求检查报告保存在EMR系统</w:t>
      </w:r>
    </w:p>
    <w:p w14:paraId="05BFAD60">
      <w:pPr>
        <w:pStyle w:val="2"/>
        <w:ind w:firstLine="0" w:firstLineChars="0"/>
        <w:rPr>
          <w:rFonts w:hint="eastAsia" w:ascii="仿宋" w:hAnsi="仿宋" w:eastAsia="仿宋" w:cs="仿宋"/>
          <w:sz w:val="32"/>
          <w:szCs w:val="32"/>
        </w:rPr>
      </w:pPr>
      <w:r>
        <w:rPr>
          <w:rFonts w:hint="eastAsia" w:ascii="仿宋" w:hAnsi="仿宋" w:eastAsia="仿宋" w:cs="仿宋"/>
          <w:sz w:val="32"/>
          <w:szCs w:val="32"/>
        </w:rPr>
        <w:t>11.统计报表：提供与医生相关的工作统计报告。</w:t>
      </w:r>
    </w:p>
    <w:p w14:paraId="5DB0104D">
      <w:pPr>
        <w:pStyle w:val="5"/>
      </w:pPr>
      <w:r>
        <w:rPr>
          <w:rFonts w:hint="eastAsia"/>
        </w:rPr>
        <w:t>住院病历系统</w:t>
      </w:r>
      <w:r>
        <w:rPr>
          <w:rFonts w:hint="eastAsia"/>
        </w:rPr>
        <w:tab/>
      </w:r>
    </w:p>
    <w:p w14:paraId="0E58EF0A">
      <w:pPr>
        <w:pStyle w:val="2"/>
        <w:ind w:firstLine="0" w:firstLineChars="0"/>
        <w:rPr>
          <w:rFonts w:hint="eastAsia" w:ascii="仿宋" w:hAnsi="仿宋" w:eastAsia="仿宋" w:cs="仿宋"/>
          <w:sz w:val="32"/>
          <w:szCs w:val="32"/>
        </w:rPr>
      </w:pPr>
      <w:r>
        <w:rPr>
          <w:rFonts w:hint="eastAsia" w:ascii="仿宋" w:hAnsi="仿宋" w:eastAsia="仿宋" w:cs="仿宋"/>
          <w:sz w:val="32"/>
          <w:szCs w:val="32"/>
        </w:rPr>
        <w:t>1.用户登录密码验证：支持用户编码和密码验证、电子密钥验证</w:t>
      </w:r>
    </w:p>
    <w:p w14:paraId="58832967">
      <w:pPr>
        <w:pStyle w:val="2"/>
        <w:ind w:firstLine="0" w:firstLineChars="0"/>
        <w:rPr>
          <w:rFonts w:hint="eastAsia" w:ascii="仿宋" w:hAnsi="仿宋" w:eastAsia="仿宋" w:cs="仿宋"/>
          <w:sz w:val="32"/>
          <w:szCs w:val="32"/>
        </w:rPr>
      </w:pPr>
      <w:r>
        <w:rPr>
          <w:rFonts w:hint="eastAsia" w:ascii="仿宋" w:hAnsi="仿宋" w:eastAsia="仿宋" w:cs="仿宋"/>
          <w:sz w:val="32"/>
          <w:szCs w:val="32"/>
        </w:rPr>
        <w:t>2.用户自定义参数：包括界面风格定制、输入法定制等</w:t>
      </w:r>
    </w:p>
    <w:p w14:paraId="4E02C00B">
      <w:pPr>
        <w:pStyle w:val="2"/>
        <w:ind w:firstLine="0" w:firstLineChars="0"/>
        <w:rPr>
          <w:rFonts w:hint="eastAsia" w:ascii="仿宋" w:hAnsi="仿宋" w:eastAsia="仿宋" w:cs="仿宋"/>
          <w:sz w:val="32"/>
          <w:szCs w:val="32"/>
        </w:rPr>
      </w:pPr>
      <w:r>
        <w:rPr>
          <w:rFonts w:hint="eastAsia" w:ascii="仿宋" w:hAnsi="仿宋" w:eastAsia="仿宋" w:cs="仿宋"/>
          <w:sz w:val="32"/>
          <w:szCs w:val="32"/>
        </w:rPr>
        <w:t>3.密码修改：支持对个人密码进行修改</w:t>
      </w:r>
    </w:p>
    <w:p w14:paraId="4A52A850">
      <w:pPr>
        <w:pStyle w:val="2"/>
        <w:ind w:firstLine="0" w:firstLineChars="0"/>
        <w:rPr>
          <w:rFonts w:hint="eastAsia" w:ascii="仿宋" w:hAnsi="仿宋" w:eastAsia="仿宋" w:cs="仿宋"/>
          <w:sz w:val="32"/>
          <w:szCs w:val="32"/>
        </w:rPr>
      </w:pPr>
      <w:r>
        <w:rPr>
          <w:rFonts w:hint="eastAsia" w:ascii="仿宋" w:hAnsi="仿宋" w:eastAsia="仿宋" w:cs="仿宋"/>
          <w:sz w:val="32"/>
          <w:szCs w:val="32"/>
        </w:rPr>
        <w:t>4.病人注册与登记：从HIS或EMR系统中读取相关信息并补充填写、修改病人的基本信息。</w:t>
      </w:r>
    </w:p>
    <w:p w14:paraId="2EBA8EFB">
      <w:pPr>
        <w:pStyle w:val="2"/>
        <w:ind w:firstLine="0" w:firstLineChars="0"/>
        <w:rPr>
          <w:rFonts w:hint="eastAsia" w:ascii="仿宋" w:hAnsi="仿宋" w:eastAsia="仿宋" w:cs="仿宋"/>
          <w:sz w:val="32"/>
          <w:szCs w:val="32"/>
        </w:rPr>
      </w:pPr>
      <w:r>
        <w:rPr>
          <w:rFonts w:hint="eastAsia" w:ascii="仿宋" w:hAnsi="仿宋" w:eastAsia="仿宋" w:cs="仿宋"/>
          <w:sz w:val="32"/>
          <w:szCs w:val="32"/>
        </w:rPr>
        <w:t>5.首页管理：数据自动汇总到首页；支持首页数据编辑；首页输出符合病历管理规范；可视化病案首页，所见即所得，非常符合临床医务人员的操作习惯；</w:t>
      </w:r>
    </w:p>
    <w:p w14:paraId="675F2F4B">
      <w:pPr>
        <w:pStyle w:val="2"/>
        <w:ind w:firstLine="0" w:firstLineChars="0"/>
        <w:rPr>
          <w:rFonts w:hint="eastAsia" w:ascii="仿宋" w:hAnsi="仿宋" w:eastAsia="仿宋" w:cs="仿宋"/>
          <w:sz w:val="32"/>
          <w:szCs w:val="32"/>
        </w:rPr>
      </w:pPr>
      <w:r>
        <w:rPr>
          <w:rFonts w:hint="eastAsia" w:ascii="仿宋" w:hAnsi="仿宋" w:eastAsia="仿宋" w:cs="仿宋"/>
          <w:sz w:val="32"/>
          <w:szCs w:val="32"/>
        </w:rPr>
        <w:t>6.住院病历管理：类似WORD的病历编辑界面，用户书写时直观方便；系统内置上百类符合各个专科特点的专科病历的结构模板，上线速度快；针对病历结构，提供树状化的结构化区域性模板，方便编辑个性化专科病历；；全结构化存储，病历中的所有结构化信息，均采用结构化技术处理，分别存储到数据库中，可供医学科研进行数据检索服务；输入方式多：支持直接文字输入，同时支持多种选择性输入，如单项选择菜单、多项选择菜单的输入，同时还支持结构化模板嵌套等功能；还支持常用词汇的管理与输入；病历格式可调：除可在定制模板时设置病历格式之外，系统允许用户可以进一步调整输出的文件格式，以方便用户的特殊需要与用途；打印输出：支持所见即所得的文件输出功能，具有选择打印，按行号打印、续打的功能。</w:t>
      </w:r>
    </w:p>
    <w:p w14:paraId="5FE1FCFF">
      <w:pPr>
        <w:pStyle w:val="2"/>
        <w:ind w:firstLine="0" w:firstLineChars="0"/>
        <w:rPr>
          <w:rFonts w:hint="eastAsia" w:ascii="仿宋" w:hAnsi="仿宋" w:eastAsia="仿宋" w:cs="仿宋"/>
          <w:sz w:val="32"/>
          <w:szCs w:val="32"/>
        </w:rPr>
      </w:pPr>
      <w:r>
        <w:rPr>
          <w:rFonts w:hint="eastAsia" w:ascii="仿宋" w:hAnsi="仿宋" w:eastAsia="仿宋" w:cs="仿宋"/>
          <w:sz w:val="32"/>
          <w:szCs w:val="32"/>
        </w:rPr>
        <w:t>7.病程记录管理：自动跟踪关键字段的历次值的变化；用户定义病程模板简单方便；模板调用快捷方便；双计时控制病程的打印与质量；病程记录内容支持全部打印、选择页打印、类似银行存折系统的续打印；</w:t>
      </w:r>
    </w:p>
    <w:p w14:paraId="16E8D263">
      <w:pPr>
        <w:pStyle w:val="2"/>
        <w:ind w:firstLine="0" w:firstLineChars="0"/>
        <w:rPr>
          <w:rFonts w:hint="eastAsia" w:ascii="仿宋" w:hAnsi="仿宋" w:eastAsia="仿宋" w:cs="仿宋"/>
          <w:sz w:val="32"/>
          <w:szCs w:val="32"/>
        </w:rPr>
      </w:pPr>
      <w:r>
        <w:rPr>
          <w:rFonts w:hint="eastAsia" w:ascii="仿宋" w:hAnsi="仿宋" w:eastAsia="仿宋" w:cs="仿宋"/>
          <w:sz w:val="32"/>
          <w:szCs w:val="32"/>
        </w:rPr>
        <w:t>8.医嘱管理：支持下达各类医嘱信息，如药品、手术、护理、膳食、处置、出院医嘱，同时每用户能定制医嘱，支持直接与HIS系统字典库相连，从而可以实现直接在电子病历系统中开医嘱功能；同时支持与现有HIS系统医嘱系统连接；支持长期医嘱与临时医嘱分别处理；支持医嘱打印的分页打印与续页打印；</w:t>
      </w:r>
    </w:p>
    <w:p w14:paraId="0592F67D">
      <w:pPr>
        <w:pStyle w:val="2"/>
        <w:ind w:firstLine="0" w:firstLineChars="0"/>
        <w:rPr>
          <w:rFonts w:hint="eastAsia" w:ascii="仿宋" w:hAnsi="仿宋" w:eastAsia="仿宋" w:cs="仿宋"/>
          <w:sz w:val="32"/>
          <w:szCs w:val="32"/>
        </w:rPr>
      </w:pPr>
      <w:r>
        <w:rPr>
          <w:rFonts w:hint="eastAsia" w:ascii="仿宋" w:hAnsi="仿宋" w:eastAsia="仿宋" w:cs="仿宋"/>
          <w:sz w:val="32"/>
          <w:szCs w:val="32"/>
        </w:rPr>
        <w:t>9.检验申请：直接向LIS系统发送检验项目的电子申请，并能够查阅检查结果，要求数据全部保存在EMR系统。</w:t>
      </w:r>
    </w:p>
    <w:p w14:paraId="7059604D">
      <w:pPr>
        <w:pStyle w:val="2"/>
        <w:ind w:firstLine="0" w:firstLineChars="0"/>
        <w:rPr>
          <w:rFonts w:hint="eastAsia" w:ascii="仿宋" w:hAnsi="仿宋" w:eastAsia="仿宋" w:cs="仿宋"/>
          <w:sz w:val="32"/>
          <w:szCs w:val="32"/>
        </w:rPr>
      </w:pPr>
      <w:r>
        <w:rPr>
          <w:rFonts w:hint="eastAsia" w:ascii="仿宋" w:hAnsi="仿宋" w:eastAsia="仿宋" w:cs="仿宋"/>
          <w:sz w:val="32"/>
          <w:szCs w:val="32"/>
        </w:rPr>
        <w:t>10.检查申请：直接向PACS系统提出检查项目的电子申请单(含简要病史\体检及检查目的)，并能够查阅检查报告，调阅影像显示，要求检查报告保存在EMR系统</w:t>
      </w:r>
    </w:p>
    <w:p w14:paraId="3EFE394F">
      <w:pPr>
        <w:pStyle w:val="2"/>
        <w:ind w:firstLine="0" w:firstLineChars="0"/>
        <w:rPr>
          <w:rFonts w:hint="eastAsia" w:ascii="仿宋" w:hAnsi="仿宋" w:eastAsia="仿宋" w:cs="仿宋"/>
          <w:sz w:val="32"/>
          <w:szCs w:val="32"/>
        </w:rPr>
      </w:pPr>
      <w:r>
        <w:rPr>
          <w:rFonts w:hint="eastAsia" w:ascii="仿宋" w:hAnsi="仿宋" w:eastAsia="仿宋" w:cs="仿宋"/>
          <w:sz w:val="32"/>
          <w:szCs w:val="32"/>
        </w:rPr>
        <w:t>11.病历模板设计：支持自由结构化字段嵌入；支持自由格式排版；支持直接从WORD到设计工具中转换；支持自定义结构化字典；支持自定义选择方式与输入方式（单选、多选、日期、时段等）；支持设计出的医疗文件模板可自由共享与独享；统一的数据处理机制，可任意扩充支持模板树的扩展，要求模板设计方便、灵活；支持自由文本的模板；</w:t>
      </w:r>
    </w:p>
    <w:p w14:paraId="75BA258C">
      <w:pPr>
        <w:pStyle w:val="2"/>
        <w:ind w:firstLine="0" w:firstLineChars="0"/>
        <w:rPr>
          <w:rFonts w:hint="eastAsia" w:ascii="仿宋" w:hAnsi="仿宋" w:eastAsia="仿宋" w:cs="仿宋"/>
          <w:sz w:val="32"/>
          <w:szCs w:val="32"/>
        </w:rPr>
      </w:pPr>
      <w:r>
        <w:rPr>
          <w:rFonts w:hint="eastAsia" w:ascii="仿宋" w:hAnsi="仿宋" w:eastAsia="仿宋" w:cs="仿宋"/>
          <w:sz w:val="32"/>
          <w:szCs w:val="32"/>
        </w:rPr>
        <w:t>12.临床信息检索与分析：具有强大的数据检索功能；方便易用的拖放式的字段检索方式；可进行跨医疗文件、跨病区、跨科室临床数据检索；数据输出方式及输出字段可以任意指定；支持数据输出到EXCEL等通用数据文件中，供应用专业统计分析软件进一步进行数据分析处理；可扩展到后台式医疗科研查询平台。</w:t>
      </w:r>
    </w:p>
    <w:p w14:paraId="219F9836">
      <w:pPr>
        <w:pStyle w:val="2"/>
        <w:ind w:firstLine="0" w:firstLineChars="0"/>
        <w:rPr>
          <w:rFonts w:hint="eastAsia" w:ascii="仿宋" w:hAnsi="仿宋" w:eastAsia="仿宋" w:cs="仿宋"/>
          <w:sz w:val="32"/>
          <w:szCs w:val="32"/>
        </w:rPr>
      </w:pPr>
      <w:r>
        <w:rPr>
          <w:rFonts w:hint="eastAsia" w:ascii="仿宋" w:hAnsi="仿宋" w:eastAsia="仿宋" w:cs="仿宋"/>
          <w:sz w:val="32"/>
          <w:szCs w:val="32"/>
        </w:rPr>
        <w:t>13.会诊资料：填写会诊申请、会诊记录。并能够打印存档</w:t>
      </w:r>
    </w:p>
    <w:p w14:paraId="40C31915">
      <w:pPr>
        <w:pStyle w:val="2"/>
        <w:ind w:firstLine="0" w:firstLineChars="0"/>
        <w:rPr>
          <w:rFonts w:hint="eastAsia" w:ascii="仿宋" w:hAnsi="仿宋" w:eastAsia="仿宋" w:cs="仿宋"/>
          <w:sz w:val="32"/>
          <w:szCs w:val="32"/>
        </w:rPr>
      </w:pPr>
      <w:r>
        <w:rPr>
          <w:rFonts w:hint="eastAsia" w:ascii="仿宋" w:hAnsi="仿宋" w:eastAsia="仿宋" w:cs="仿宋"/>
          <w:sz w:val="32"/>
          <w:szCs w:val="32"/>
        </w:rPr>
        <w:t>14.死亡记录：填写病人的死亡资料（包括死亡记录、死亡讨论），并能够打印存档</w:t>
      </w:r>
    </w:p>
    <w:p w14:paraId="1D8D44F1">
      <w:pPr>
        <w:pStyle w:val="2"/>
        <w:ind w:firstLine="0" w:firstLineChars="0"/>
        <w:rPr>
          <w:rFonts w:hint="eastAsia" w:ascii="仿宋" w:hAnsi="仿宋" w:eastAsia="仿宋" w:cs="仿宋"/>
          <w:sz w:val="32"/>
          <w:szCs w:val="32"/>
        </w:rPr>
      </w:pPr>
      <w:r>
        <w:rPr>
          <w:rFonts w:hint="eastAsia" w:ascii="仿宋" w:hAnsi="仿宋" w:eastAsia="仿宋" w:cs="仿宋"/>
          <w:sz w:val="32"/>
          <w:szCs w:val="32"/>
        </w:rPr>
        <w:t>15.出院小结：填写病人的出院小结，并能够打印</w:t>
      </w:r>
    </w:p>
    <w:p w14:paraId="6CC85DEB">
      <w:pPr>
        <w:pStyle w:val="2"/>
        <w:ind w:firstLine="0" w:firstLineChars="0"/>
        <w:rPr>
          <w:rFonts w:hint="eastAsia" w:ascii="仿宋" w:hAnsi="仿宋" w:eastAsia="仿宋" w:cs="仿宋"/>
          <w:sz w:val="32"/>
          <w:szCs w:val="32"/>
        </w:rPr>
      </w:pPr>
      <w:r>
        <w:rPr>
          <w:rFonts w:hint="eastAsia" w:ascii="仿宋" w:hAnsi="仿宋" w:eastAsia="仿宋" w:cs="仿宋"/>
          <w:sz w:val="32"/>
          <w:szCs w:val="32"/>
        </w:rPr>
        <w:t>16.病历归档：对已经完成的病历进行归档</w:t>
      </w:r>
    </w:p>
    <w:p w14:paraId="58959A37">
      <w:pPr>
        <w:pStyle w:val="2"/>
        <w:ind w:firstLine="0" w:firstLineChars="0"/>
        <w:rPr>
          <w:rFonts w:hint="eastAsia" w:ascii="仿宋" w:hAnsi="仿宋" w:eastAsia="仿宋" w:cs="仿宋"/>
          <w:sz w:val="32"/>
          <w:szCs w:val="32"/>
        </w:rPr>
      </w:pPr>
      <w:r>
        <w:rPr>
          <w:rFonts w:hint="eastAsia" w:ascii="仿宋" w:hAnsi="仿宋" w:eastAsia="仿宋" w:cs="仿宋"/>
          <w:sz w:val="32"/>
          <w:szCs w:val="32"/>
        </w:rPr>
        <w:t>17.病案查询：查阅出院病人的病案</w:t>
      </w:r>
    </w:p>
    <w:p w14:paraId="716614AD">
      <w:pPr>
        <w:pStyle w:val="2"/>
        <w:ind w:firstLine="0" w:firstLineChars="0"/>
        <w:rPr>
          <w:rFonts w:hint="eastAsia" w:ascii="仿宋" w:hAnsi="仿宋" w:eastAsia="仿宋" w:cs="仿宋"/>
          <w:sz w:val="32"/>
          <w:szCs w:val="32"/>
        </w:rPr>
      </w:pPr>
      <w:r>
        <w:rPr>
          <w:rFonts w:hint="eastAsia" w:ascii="仿宋" w:hAnsi="仿宋" w:eastAsia="仿宋" w:cs="仿宋"/>
          <w:sz w:val="32"/>
          <w:szCs w:val="32"/>
        </w:rPr>
        <w:t>18.病历打印：可以打印完整的病历内容</w:t>
      </w:r>
    </w:p>
    <w:p w14:paraId="1B9D548D">
      <w:pPr>
        <w:pStyle w:val="3"/>
        <w:numPr>
          <w:ilvl w:val="0"/>
          <w:numId w:val="4"/>
        </w:numPr>
        <w:ind w:firstLine="883"/>
        <w:jc w:val="center"/>
      </w:pPr>
      <w:r>
        <w:rPr>
          <w:rFonts w:hint="eastAsia"/>
        </w:rPr>
        <w:t>医共体接口</w:t>
      </w:r>
    </w:p>
    <w:p w14:paraId="3050BB5D">
      <w:pPr>
        <w:ind w:firstLine="640"/>
      </w:pPr>
      <w:r>
        <w:rPr>
          <w:rFonts w:hint="eastAsia"/>
        </w:rPr>
        <w:t>需对接市中医院医共体总医院集成平台、市妇幼保健院相关系统、市第三人民医院相关系统、同步医疗数据至公卫系统、市人民医院医共体数据接口（对接市人民医院健康360或建设全市医共体数据中心）。</w:t>
      </w:r>
    </w:p>
    <w:p w14:paraId="303FF388">
      <w:pPr>
        <w:ind w:firstLine="640"/>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1AA525">
    <w:pPr>
      <w:pStyle w:val="1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BC093">
    <w:pPr>
      <w:pStyle w:val="1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14213">
    <w:pPr>
      <w:pStyle w:val="10"/>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640"/>
      </w:pPr>
      <w:r>
        <w:separator/>
      </w:r>
    </w:p>
  </w:footnote>
  <w:footnote w:type="continuationSeparator" w:id="1">
    <w:p>
      <w:pPr>
        <w:spacing w:line="36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79149B">
    <w:pPr>
      <w:pStyle w:val="11"/>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6B1886">
    <w:pPr>
      <w:pStyle w:val="1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994021">
    <w:pPr>
      <w:pStyle w:val="11"/>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13A5F4"/>
    <w:multiLevelType w:val="singleLevel"/>
    <w:tmpl w:val="9213A5F4"/>
    <w:lvl w:ilvl="0" w:tentative="0">
      <w:start w:val="1"/>
      <w:numFmt w:val="bullet"/>
      <w:lvlText w:val=""/>
      <w:lvlJc w:val="left"/>
      <w:pPr>
        <w:ind w:left="420" w:hanging="420"/>
      </w:pPr>
      <w:rPr>
        <w:rFonts w:hint="default" w:ascii="Wingdings" w:hAnsi="Wingdings"/>
      </w:rPr>
    </w:lvl>
  </w:abstractNum>
  <w:abstractNum w:abstractNumId="1">
    <w:nsid w:val="A8C2060B"/>
    <w:multiLevelType w:val="singleLevel"/>
    <w:tmpl w:val="A8C2060B"/>
    <w:lvl w:ilvl="0" w:tentative="0">
      <w:start w:val="1"/>
      <w:numFmt w:val="decimal"/>
      <w:suff w:val="space"/>
      <w:lvlText w:val="(%1)"/>
      <w:lvlJc w:val="left"/>
      <w:pPr>
        <w:ind w:left="0" w:firstLine="0"/>
      </w:pPr>
      <w:rPr>
        <w:rFonts w:hint="default"/>
      </w:rPr>
    </w:lvl>
  </w:abstractNum>
  <w:abstractNum w:abstractNumId="2">
    <w:nsid w:val="AA4F9D4F"/>
    <w:multiLevelType w:val="multilevel"/>
    <w:tmpl w:val="AA4F9D4F"/>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B1EED5FE"/>
    <w:multiLevelType w:val="singleLevel"/>
    <w:tmpl w:val="B1EED5FE"/>
    <w:lvl w:ilvl="0" w:tentative="0">
      <w:start w:val="1"/>
      <w:numFmt w:val="bullet"/>
      <w:lvlText w:val=""/>
      <w:lvlJc w:val="left"/>
      <w:pPr>
        <w:ind w:left="420" w:hanging="420"/>
      </w:pPr>
      <w:rPr>
        <w:rFonts w:hint="default" w:ascii="Wingdings" w:hAnsi="Wingdings"/>
      </w:rPr>
    </w:lvl>
  </w:abstractNum>
  <w:abstractNum w:abstractNumId="4">
    <w:nsid w:val="D2CF2E54"/>
    <w:multiLevelType w:val="singleLevel"/>
    <w:tmpl w:val="D2CF2E54"/>
    <w:lvl w:ilvl="0" w:tentative="0">
      <w:start w:val="1"/>
      <w:numFmt w:val="chineseCounting"/>
      <w:suff w:val="nothing"/>
      <w:lvlText w:val="%1、"/>
      <w:lvlJc w:val="left"/>
      <w:pPr>
        <w:ind w:left="0" w:firstLine="420"/>
      </w:pPr>
      <w:rPr>
        <w:rFonts w:hint="eastAsia"/>
      </w:rPr>
    </w:lvl>
  </w:abstractNum>
  <w:abstractNum w:abstractNumId="5">
    <w:nsid w:val="DAFD3615"/>
    <w:multiLevelType w:val="singleLevel"/>
    <w:tmpl w:val="DAFD3615"/>
    <w:lvl w:ilvl="0" w:tentative="0">
      <w:start w:val="1"/>
      <w:numFmt w:val="decimal"/>
      <w:lvlText w:val="%1)"/>
      <w:lvlJc w:val="left"/>
      <w:pPr>
        <w:tabs>
          <w:tab w:val="left" w:pos="312"/>
        </w:tabs>
      </w:pPr>
    </w:lvl>
  </w:abstractNum>
  <w:abstractNum w:abstractNumId="6">
    <w:nsid w:val="ED291001"/>
    <w:multiLevelType w:val="singleLevel"/>
    <w:tmpl w:val="ED291001"/>
    <w:lvl w:ilvl="0" w:tentative="0">
      <w:start w:val="1"/>
      <w:numFmt w:val="decimal"/>
      <w:lvlText w:val="(%1)"/>
      <w:lvlJc w:val="left"/>
      <w:pPr>
        <w:ind w:left="425" w:hanging="425"/>
      </w:pPr>
      <w:rPr>
        <w:rFonts w:hint="default"/>
      </w:rPr>
    </w:lvl>
  </w:abstractNum>
  <w:abstractNum w:abstractNumId="7">
    <w:nsid w:val="EE4D3CC3"/>
    <w:multiLevelType w:val="multilevel"/>
    <w:tmpl w:val="EE4D3CC3"/>
    <w:lvl w:ilvl="0" w:tentative="0">
      <w:start w:val="1"/>
      <w:numFmt w:val="decimal"/>
      <w:lvlText w:val="%1."/>
      <w:lvlJc w:val="left"/>
      <w:pPr>
        <w:ind w:left="432" w:hanging="432"/>
      </w:pPr>
      <w:rPr>
        <w:rFonts w:hint="default"/>
      </w:rPr>
    </w:lvl>
    <w:lvl w:ilvl="1" w:tentative="0">
      <w:start w:val="1"/>
      <w:numFmt w:val="decimal"/>
      <w:pStyle w:val="4"/>
      <w:suff w:val="nothing"/>
      <w:lvlText w:val="%1.%2."/>
      <w:lvlJc w:val="left"/>
      <w:pPr>
        <w:ind w:left="575" w:hanging="575"/>
      </w:pPr>
      <w:rPr>
        <w:rFonts w:hint="default"/>
      </w:rPr>
    </w:lvl>
    <w:lvl w:ilvl="2" w:tentative="0">
      <w:start w:val="1"/>
      <w:numFmt w:val="decimal"/>
      <w:pStyle w:val="5"/>
      <w:suff w:val="nothing"/>
      <w:lvlText w:val="%1.%2.%3."/>
      <w:lvlJc w:val="left"/>
      <w:pPr>
        <w:ind w:left="720" w:hanging="720"/>
      </w:pPr>
      <w:rPr>
        <w:rFonts w:hint="default" w:ascii="Times New Roman" w:hAnsi="Times New Roman" w:cs="Times New Roman"/>
      </w:rPr>
    </w:lvl>
    <w:lvl w:ilvl="3" w:tentative="0">
      <w:start w:val="1"/>
      <w:numFmt w:val="decimal"/>
      <w:pStyle w:val="6"/>
      <w:suff w:val="nothing"/>
      <w:lvlText w:val="%1.%2.%3.%4."/>
      <w:lvlJc w:val="left"/>
      <w:pPr>
        <w:ind w:left="864" w:hanging="864"/>
      </w:pPr>
      <w:rPr>
        <w:rFonts w:hint="default"/>
      </w:rPr>
    </w:lvl>
    <w:lvl w:ilvl="4" w:tentative="0">
      <w:start w:val="1"/>
      <w:numFmt w:val="decimal"/>
      <w:suff w:val="nothing"/>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8">
    <w:nsid w:val="F44629D5"/>
    <w:multiLevelType w:val="singleLevel"/>
    <w:tmpl w:val="F44629D5"/>
    <w:lvl w:ilvl="0" w:tentative="0">
      <w:start w:val="1"/>
      <w:numFmt w:val="decimal"/>
      <w:suff w:val="space"/>
      <w:lvlText w:val="(%1)"/>
      <w:lvlJc w:val="left"/>
    </w:lvl>
  </w:abstractNum>
  <w:abstractNum w:abstractNumId="9">
    <w:nsid w:val="F98F6A45"/>
    <w:multiLevelType w:val="singleLevel"/>
    <w:tmpl w:val="F98F6A45"/>
    <w:lvl w:ilvl="0" w:tentative="0">
      <w:start w:val="1"/>
      <w:numFmt w:val="decimal"/>
      <w:suff w:val="space"/>
      <w:lvlText w:val="(%1)"/>
      <w:lvlJc w:val="left"/>
      <w:pPr>
        <w:ind w:left="425" w:hanging="425"/>
      </w:pPr>
      <w:rPr>
        <w:rFonts w:hint="default"/>
      </w:rPr>
    </w:lvl>
  </w:abstractNum>
  <w:abstractNum w:abstractNumId="10">
    <w:nsid w:val="0C933CA7"/>
    <w:multiLevelType w:val="singleLevel"/>
    <w:tmpl w:val="0C933CA7"/>
    <w:lvl w:ilvl="0" w:tentative="0">
      <w:start w:val="1"/>
      <w:numFmt w:val="bullet"/>
      <w:lvlText w:val=""/>
      <w:lvlJc w:val="left"/>
      <w:pPr>
        <w:ind w:left="420" w:hanging="420"/>
      </w:pPr>
      <w:rPr>
        <w:rFonts w:hint="default" w:ascii="Wingdings" w:hAnsi="Wingdings"/>
      </w:rPr>
    </w:lvl>
  </w:abstractNum>
  <w:abstractNum w:abstractNumId="11">
    <w:nsid w:val="1EA01DE3"/>
    <w:multiLevelType w:val="singleLevel"/>
    <w:tmpl w:val="1EA01DE3"/>
    <w:lvl w:ilvl="0" w:tentative="0">
      <w:start w:val="1"/>
      <w:numFmt w:val="decimal"/>
      <w:suff w:val="space"/>
      <w:lvlText w:val="(%1)"/>
      <w:lvlJc w:val="left"/>
      <w:pPr>
        <w:ind w:left="3260" w:hanging="425"/>
      </w:pPr>
      <w:rPr>
        <w:rFonts w:hint="default"/>
      </w:rPr>
    </w:lvl>
  </w:abstractNum>
  <w:abstractNum w:abstractNumId="12">
    <w:nsid w:val="231D4AC6"/>
    <w:multiLevelType w:val="singleLevel"/>
    <w:tmpl w:val="231D4AC6"/>
    <w:lvl w:ilvl="0" w:tentative="0">
      <w:start w:val="1"/>
      <w:numFmt w:val="bullet"/>
      <w:lvlText w:val=""/>
      <w:lvlJc w:val="left"/>
      <w:pPr>
        <w:ind w:left="420" w:hanging="420"/>
      </w:pPr>
      <w:rPr>
        <w:rFonts w:hint="default" w:ascii="Wingdings" w:hAnsi="Wingdings"/>
      </w:rPr>
    </w:lvl>
  </w:abstractNum>
  <w:abstractNum w:abstractNumId="13">
    <w:nsid w:val="2C4D1900"/>
    <w:multiLevelType w:val="singleLevel"/>
    <w:tmpl w:val="2C4D1900"/>
    <w:lvl w:ilvl="0" w:tentative="0">
      <w:start w:val="1"/>
      <w:numFmt w:val="decimal"/>
      <w:lvlText w:val="(%1)"/>
      <w:lvlJc w:val="left"/>
      <w:pPr>
        <w:tabs>
          <w:tab w:val="left" w:pos="420"/>
        </w:tabs>
        <w:ind w:left="845" w:hanging="425"/>
      </w:pPr>
      <w:rPr>
        <w:rFonts w:hint="default"/>
      </w:rPr>
    </w:lvl>
  </w:abstractNum>
  <w:abstractNum w:abstractNumId="14">
    <w:nsid w:val="32F3553F"/>
    <w:multiLevelType w:val="singleLevel"/>
    <w:tmpl w:val="32F3553F"/>
    <w:lvl w:ilvl="0" w:tentative="0">
      <w:start w:val="1"/>
      <w:numFmt w:val="decimal"/>
      <w:suff w:val="space"/>
      <w:lvlText w:val="(%1)"/>
      <w:lvlJc w:val="left"/>
      <w:pPr>
        <w:ind w:left="3260" w:hanging="425"/>
      </w:pPr>
      <w:rPr>
        <w:rFonts w:hint="default"/>
      </w:rPr>
    </w:lvl>
  </w:abstractNum>
  <w:abstractNum w:abstractNumId="15">
    <w:nsid w:val="338C38FE"/>
    <w:multiLevelType w:val="singleLevel"/>
    <w:tmpl w:val="338C38FE"/>
    <w:lvl w:ilvl="0" w:tentative="0">
      <w:start w:val="1"/>
      <w:numFmt w:val="bullet"/>
      <w:lvlText w:val=""/>
      <w:lvlJc w:val="left"/>
      <w:pPr>
        <w:ind w:left="420" w:hanging="420"/>
      </w:pPr>
      <w:rPr>
        <w:rFonts w:hint="default" w:ascii="Wingdings" w:hAnsi="Wingdings"/>
      </w:rPr>
    </w:lvl>
  </w:abstractNum>
  <w:abstractNum w:abstractNumId="16">
    <w:nsid w:val="3B69A651"/>
    <w:multiLevelType w:val="singleLevel"/>
    <w:tmpl w:val="3B69A651"/>
    <w:lvl w:ilvl="0" w:tentative="0">
      <w:start w:val="1"/>
      <w:numFmt w:val="decimal"/>
      <w:suff w:val="nothing"/>
      <w:lvlText w:val="（%1）"/>
      <w:lvlJc w:val="left"/>
    </w:lvl>
  </w:abstractNum>
  <w:abstractNum w:abstractNumId="17">
    <w:nsid w:val="610838D4"/>
    <w:multiLevelType w:val="singleLevel"/>
    <w:tmpl w:val="610838D4"/>
    <w:lvl w:ilvl="0" w:tentative="0">
      <w:start w:val="1"/>
      <w:numFmt w:val="decimal"/>
      <w:lvlText w:val="%1."/>
      <w:lvlJc w:val="left"/>
      <w:pPr>
        <w:ind w:left="425" w:hanging="425"/>
      </w:pPr>
      <w:rPr>
        <w:rFonts w:hint="default"/>
      </w:rPr>
    </w:lvl>
  </w:abstractNum>
  <w:abstractNum w:abstractNumId="18">
    <w:nsid w:val="75780F0F"/>
    <w:multiLevelType w:val="singleLevel"/>
    <w:tmpl w:val="75780F0F"/>
    <w:lvl w:ilvl="0" w:tentative="0">
      <w:start w:val="1"/>
      <w:numFmt w:val="decimal"/>
      <w:suff w:val="space"/>
      <w:lvlText w:val="(%1)"/>
      <w:lvlJc w:val="left"/>
      <w:pPr>
        <w:ind w:left="0" w:firstLine="0"/>
      </w:pPr>
      <w:rPr>
        <w:rFonts w:hint="eastAsia"/>
      </w:rPr>
    </w:lvl>
  </w:abstractNum>
  <w:num w:numId="1">
    <w:abstractNumId w:val="7"/>
  </w:num>
  <w:num w:numId="2">
    <w:abstractNumId w:val="4"/>
  </w:num>
  <w:num w:numId="3">
    <w:abstractNumId w:val="2"/>
  </w:num>
  <w:num w:numId="4">
    <w:abstractNumId w:val="17"/>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16"/>
  </w:num>
  <w:num w:numId="12">
    <w:abstractNumId w:val="8"/>
  </w:num>
  <w:num w:numId="13">
    <w:abstractNumId w:val="1"/>
  </w:num>
  <w:num w:numId="14">
    <w:abstractNumId w:val="11"/>
  </w:num>
  <w:num w:numId="15">
    <w:abstractNumId w:val="14"/>
  </w:num>
  <w:num w:numId="16">
    <w:abstractNumId w:val="9"/>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0"/>
  </w:num>
  <w:num w:numId="20">
    <w:abstractNumId w:val="10"/>
  </w:num>
  <w:num w:numId="21">
    <w:abstractNumId w:val="15"/>
  </w:num>
  <w:num w:numId="22">
    <w:abstractNumId w:val="13"/>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ZhNjExZWYxYTQ4ZTVkMjM5YjYzNzg2ZDNmZTkxNDMifQ=="/>
  </w:docVars>
  <w:rsids>
    <w:rsidRoot w:val="001C7AF3"/>
    <w:rsid w:val="001C7AF3"/>
    <w:rsid w:val="009358DF"/>
    <w:rsid w:val="00AC2950"/>
    <w:rsid w:val="00B417F5"/>
    <w:rsid w:val="00D86C3E"/>
    <w:rsid w:val="697C00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39"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11"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Times New Roman" w:hAnsi="Times New Roman" w:eastAsia="仿宋" w:cs="Times New Roman"/>
      <w:kern w:val="2"/>
      <w:sz w:val="32"/>
      <w:lang w:val="en-US" w:eastAsia="zh-CN" w:bidi="ar-SA"/>
    </w:rPr>
  </w:style>
  <w:style w:type="paragraph" w:styleId="3">
    <w:name w:val="heading 1"/>
    <w:basedOn w:val="1"/>
    <w:next w:val="1"/>
    <w:qFormat/>
    <w:uiPriority w:val="0"/>
    <w:pPr>
      <w:keepNext/>
      <w:keepLines/>
      <w:spacing w:before="340" w:after="330" w:line="576" w:lineRule="auto"/>
      <w:outlineLvl w:val="0"/>
    </w:pPr>
    <w:rPr>
      <w:b/>
      <w:kern w:val="44"/>
      <w:sz w:val="44"/>
    </w:rPr>
  </w:style>
  <w:style w:type="paragraph" w:styleId="4">
    <w:name w:val="heading 2"/>
    <w:basedOn w:val="1"/>
    <w:next w:val="1"/>
    <w:link w:val="22"/>
    <w:qFormat/>
    <w:uiPriority w:val="0"/>
    <w:pPr>
      <w:keepNext/>
      <w:keepLines/>
      <w:numPr>
        <w:ilvl w:val="1"/>
        <w:numId w:val="1"/>
      </w:numPr>
      <w:spacing w:before="160" w:after="160" w:line="413" w:lineRule="auto"/>
      <w:ind w:left="0" w:firstLine="0" w:firstLineChars="0"/>
      <w:outlineLvl w:val="1"/>
    </w:pPr>
    <w:rPr>
      <w:rFonts w:eastAsia="宋体"/>
      <w:b/>
    </w:rPr>
  </w:style>
  <w:style w:type="paragraph" w:styleId="5">
    <w:name w:val="heading 3"/>
    <w:basedOn w:val="1"/>
    <w:next w:val="1"/>
    <w:link w:val="23"/>
    <w:unhideWhenUsed/>
    <w:qFormat/>
    <w:uiPriority w:val="0"/>
    <w:pPr>
      <w:keepNext/>
      <w:keepLines/>
      <w:numPr>
        <w:ilvl w:val="2"/>
        <w:numId w:val="1"/>
      </w:numPr>
      <w:spacing w:before="160" w:after="160" w:line="416" w:lineRule="auto"/>
      <w:ind w:left="0" w:firstLine="0" w:firstLineChars="0"/>
      <w:outlineLvl w:val="2"/>
    </w:pPr>
    <w:rPr>
      <w:rFonts w:eastAsia="宋体"/>
      <w:b/>
      <w:bCs/>
      <w:sz w:val="30"/>
      <w:szCs w:val="32"/>
    </w:rPr>
  </w:style>
  <w:style w:type="paragraph" w:styleId="6">
    <w:name w:val="heading 4"/>
    <w:basedOn w:val="1"/>
    <w:next w:val="1"/>
    <w:unhideWhenUsed/>
    <w:qFormat/>
    <w:uiPriority w:val="0"/>
    <w:pPr>
      <w:keepNext/>
      <w:keepLines/>
      <w:numPr>
        <w:ilvl w:val="3"/>
        <w:numId w:val="1"/>
      </w:numPr>
      <w:spacing w:before="100" w:after="100" w:line="377" w:lineRule="auto"/>
      <w:ind w:left="0" w:firstLine="0" w:firstLineChars="0"/>
      <w:outlineLvl w:val="3"/>
    </w:pPr>
    <w:rPr>
      <w:rFonts w:eastAsia="宋体" w:cstheme="majorBidi"/>
      <w:b/>
      <w:bCs/>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rPr>
      <w:rFonts w:eastAsia="宋体" w:asciiTheme="minorHAnsi" w:hAnsiTheme="minorHAnsi"/>
      <w:sz w:val="24"/>
      <w:szCs w:val="22"/>
    </w:rPr>
  </w:style>
  <w:style w:type="paragraph" w:styleId="7">
    <w:name w:val="Normal Indent"/>
    <w:basedOn w:val="1"/>
    <w:qFormat/>
    <w:uiPriority w:val="0"/>
    <w:pPr>
      <w:ind w:firstLine="420" w:firstLineChars="0"/>
      <w:jc w:val="both"/>
    </w:pPr>
  </w:style>
  <w:style w:type="paragraph" w:styleId="8">
    <w:name w:val="Body Text Indent"/>
    <w:basedOn w:val="1"/>
    <w:qFormat/>
    <w:uiPriority w:val="0"/>
    <w:pPr>
      <w:ind w:left="1080" w:firstLine="357" w:firstLineChars="170"/>
    </w:pPr>
    <w:rPr>
      <w:rFonts w:ascii="宋体" w:hAnsi="宋体"/>
      <w:color w:val="000000"/>
      <w:szCs w:val="24"/>
    </w:rPr>
  </w:style>
  <w:style w:type="paragraph" w:styleId="9">
    <w:name w:val="Body Text Indent 2"/>
    <w:basedOn w:val="1"/>
    <w:qFormat/>
    <w:uiPriority w:val="0"/>
    <w:pPr>
      <w:spacing w:line="500" w:lineRule="exact"/>
      <w:ind w:firstLine="564"/>
    </w:pPr>
    <w:rPr>
      <w:rFonts w:eastAsia="宋体"/>
    </w:rPr>
  </w:style>
  <w:style w:type="paragraph" w:styleId="10">
    <w:name w:val="footer"/>
    <w:basedOn w:val="1"/>
    <w:unhideWhenUsed/>
    <w:qFormat/>
    <w:uiPriority w:val="99"/>
    <w:pPr>
      <w:tabs>
        <w:tab w:val="center" w:pos="4153"/>
        <w:tab w:val="right" w:pos="8306"/>
      </w:tabs>
      <w:snapToGrid w:val="0"/>
    </w:pPr>
    <w:rPr>
      <w:sz w:val="18"/>
      <w:szCs w:val="18"/>
    </w:rPr>
  </w:style>
  <w:style w:type="paragraph" w:styleId="11">
    <w:name w:val="header"/>
    <w:basedOn w:val="1"/>
    <w:unhideWhenUsed/>
    <w:qFormat/>
    <w:uiPriority w:val="11"/>
    <w:pPr>
      <w:pBdr>
        <w:bottom w:val="single" w:color="auto" w:sz="6" w:space="1"/>
      </w:pBdr>
      <w:tabs>
        <w:tab w:val="center" w:pos="4153"/>
        <w:tab w:val="right" w:pos="8306"/>
      </w:tabs>
      <w:snapToGrid w:val="0"/>
      <w:jc w:val="center"/>
    </w:pPr>
    <w:rPr>
      <w:sz w:val="18"/>
      <w:szCs w:val="18"/>
    </w:rPr>
  </w:style>
  <w:style w:type="paragraph" w:styleId="12">
    <w:name w:val="toc 6"/>
    <w:basedOn w:val="1"/>
    <w:next w:val="1"/>
    <w:qFormat/>
    <w:uiPriority w:val="39"/>
    <w:pPr>
      <w:spacing w:before="100" w:beforeLines="100" w:line="240" w:lineRule="auto"/>
      <w:ind w:left="2100" w:leftChars="1000"/>
    </w:pPr>
    <w:rPr>
      <w:rFonts w:ascii="Calibri" w:hAnsi="Calibri" w:eastAsia="宋体"/>
      <w:color w:val="FF0000"/>
    </w:rPr>
  </w:style>
  <w:style w:type="paragraph" w:styleId="13">
    <w:name w:val="toc 2"/>
    <w:basedOn w:val="1"/>
    <w:next w:val="1"/>
    <w:qFormat/>
    <w:uiPriority w:val="0"/>
    <w:pPr>
      <w:widowControl/>
      <w:ind w:left="240"/>
    </w:pPr>
    <w:rPr>
      <w:rFonts w:eastAsiaTheme="minorHAnsi"/>
      <w:smallCaps/>
      <w:sz w:val="20"/>
    </w:rPr>
  </w:style>
  <w:style w:type="paragraph" w:styleId="14">
    <w:name w:val="Body Text 2"/>
    <w:basedOn w:val="1"/>
    <w:next w:val="12"/>
    <w:qFormat/>
    <w:uiPriority w:val="0"/>
    <w:pPr>
      <w:spacing w:after="120" w:line="480" w:lineRule="auto"/>
    </w:pPr>
    <w:rPr>
      <w:rFonts w:eastAsia="Times New Roman"/>
    </w:rPr>
  </w:style>
  <w:style w:type="paragraph" w:styleId="15">
    <w:name w:val="Body Text First Indent 2"/>
    <w:basedOn w:val="8"/>
    <w:unhideWhenUsed/>
    <w:qFormat/>
    <w:uiPriority w:val="99"/>
    <w:pPr>
      <w:ind w:firstLine="420" w:firstLineChars="200"/>
    </w:pPr>
    <w:rPr>
      <w:rFonts w:ascii="Times New Roman" w:hAnsi="Times New Roman" w:eastAsia="宋体"/>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unhideWhenUsed/>
    <w:qFormat/>
    <w:uiPriority w:val="99"/>
  </w:style>
  <w:style w:type="paragraph" w:customStyle="1" w:styleId="20">
    <w:name w:val="图片"/>
    <w:qFormat/>
    <w:uiPriority w:val="0"/>
    <w:pPr>
      <w:spacing w:line="360" w:lineRule="auto"/>
      <w:jc w:val="center"/>
    </w:pPr>
    <w:rPr>
      <w:rFonts w:ascii="Times New Roman" w:hAnsi="Times New Roman" w:eastAsia="仿宋" w:cs="Times New Roman"/>
      <w:kern w:val="2"/>
      <w:sz w:val="21"/>
      <w:szCs w:val="22"/>
      <w:lang w:val="en-US" w:eastAsia="zh-CN" w:bidi="ar-SA"/>
    </w:rPr>
  </w:style>
  <w:style w:type="paragraph" w:customStyle="1" w:styleId="21">
    <w:name w:val="表格"/>
    <w:next w:val="1"/>
    <w:qFormat/>
    <w:uiPriority w:val="0"/>
    <w:pPr>
      <w:jc w:val="center"/>
    </w:pPr>
    <w:rPr>
      <w:rFonts w:ascii="Times New Roman" w:hAnsi="Times New Roman" w:eastAsia="仿宋" w:cs="Times New Roman"/>
      <w:kern w:val="2"/>
      <w:sz w:val="24"/>
      <w:szCs w:val="22"/>
      <w:lang w:val="en-US" w:eastAsia="zh-CN" w:bidi="ar-SA"/>
    </w:rPr>
  </w:style>
  <w:style w:type="character" w:customStyle="1" w:styleId="22">
    <w:name w:val="标题 2 字符"/>
    <w:link w:val="4"/>
    <w:qFormat/>
    <w:uiPriority w:val="0"/>
    <w:rPr>
      <w:rFonts w:eastAsia="宋体"/>
      <w:b/>
      <w:sz w:val="32"/>
    </w:rPr>
  </w:style>
  <w:style w:type="character" w:customStyle="1" w:styleId="23">
    <w:name w:val="标题 3 字符"/>
    <w:link w:val="5"/>
    <w:qFormat/>
    <w:uiPriority w:val="0"/>
    <w:rPr>
      <w:rFonts w:eastAsia="宋体"/>
      <w:b/>
      <w:bCs/>
      <w:sz w:val="30"/>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61</Pages>
  <Words>23267</Words>
  <Characters>24072</Characters>
  <Lines>176</Lines>
  <Paragraphs>49</Paragraphs>
  <TotalTime>946</TotalTime>
  <ScaleCrop>false</ScaleCrop>
  <LinksUpToDate>false</LinksUpToDate>
  <CharactersWithSpaces>24191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2024-10-12T14:15:00Z</dcterms:created>
  <dc:creator>玫瑰</dc:creator>
  <cp:lastModifiedBy>橙紫  兜兜木有钱</cp:lastModifiedBy>
  <dcterms:modified xsi:type="dcterms:W3CDTF">2024-11-01T02:51:46Z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4DC876AC6C304083AD31342D5F5BEB06_13</vt:lpwstr>
  </property>
</Properties>
</file>