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outlineLvl w:val="0"/>
        <w:rPr>
          <w:rFonts w:hint="eastAsia" w:ascii="黑体" w:hAnsi="黑体" w:eastAsia="黑体" w:cs="黑体"/>
          <w:color w:val="auto"/>
          <w:sz w:val="48"/>
          <w:szCs w:val="48"/>
          <w:lang w:val="en-GB" w:eastAsia="zh-CN"/>
        </w:rPr>
      </w:pPr>
      <w:bookmarkStart w:id="0" w:name="_Toc135727658"/>
      <w:bookmarkStart w:id="1" w:name="_Toc135727665"/>
      <w:bookmarkStart w:id="2" w:name="_Toc13810"/>
    </w:p>
    <w:p>
      <w:pPr>
        <w:pStyle w:val="18"/>
        <w:outlineLvl w:val="0"/>
        <w:rPr>
          <w:rFonts w:hint="eastAsia" w:ascii="黑体" w:hAnsi="黑体" w:eastAsia="黑体" w:cs="黑体"/>
          <w:color w:val="auto"/>
          <w:sz w:val="48"/>
          <w:szCs w:val="48"/>
          <w:lang w:val="en-GB" w:eastAsia="zh-CN"/>
        </w:rPr>
      </w:pPr>
    </w:p>
    <w:p>
      <w:pPr>
        <w:pStyle w:val="18"/>
        <w:outlineLvl w:val="0"/>
        <w:rPr>
          <w:rFonts w:hint="eastAsia" w:ascii="黑体" w:hAnsi="黑体" w:eastAsia="黑体" w:cs="黑体"/>
          <w:color w:val="auto"/>
          <w:sz w:val="48"/>
          <w:szCs w:val="48"/>
          <w:lang w:val="en-GB" w:eastAsia="zh-CN"/>
        </w:rPr>
      </w:pPr>
    </w:p>
    <w:p>
      <w:pPr>
        <w:pStyle w:val="18"/>
        <w:outlineLvl w:val="0"/>
        <w:rPr>
          <w:rFonts w:hint="eastAsia" w:ascii="黑体" w:hAnsi="黑体" w:eastAsia="黑体" w:cs="黑体"/>
          <w:color w:val="auto"/>
          <w:sz w:val="48"/>
          <w:szCs w:val="48"/>
          <w:lang w:val="en-GB" w:eastAsia="zh-CN"/>
        </w:rPr>
      </w:pPr>
      <w:r>
        <w:rPr>
          <w:rFonts w:hint="eastAsia" w:ascii="黑体" w:hAnsi="黑体" w:eastAsia="黑体" w:cs="黑体"/>
          <w:color w:val="auto"/>
          <w:sz w:val="48"/>
          <w:szCs w:val="48"/>
          <w:lang w:val="en-GB" w:eastAsia="zh-CN"/>
        </w:rPr>
        <w:t>阳春市妇幼保健院银医通（二期）</w:t>
      </w:r>
    </w:p>
    <w:p>
      <w:pPr>
        <w:pStyle w:val="18"/>
        <w:outlineLvl w:val="0"/>
        <w:rPr>
          <w:rFonts w:hint="eastAsia" w:ascii="黑体" w:hAnsi="黑体" w:eastAsia="黑体" w:cs="黑体"/>
          <w:color w:val="auto"/>
          <w:sz w:val="48"/>
          <w:szCs w:val="48"/>
        </w:rPr>
      </w:pPr>
      <w:r>
        <w:rPr>
          <w:rFonts w:hint="eastAsia" w:ascii="黑体" w:hAnsi="黑体" w:eastAsia="黑体" w:cs="黑体"/>
          <w:color w:val="auto"/>
          <w:sz w:val="48"/>
          <w:szCs w:val="48"/>
          <w:lang w:eastAsia="zh-CN"/>
        </w:rPr>
        <w:t>项目</w:t>
      </w:r>
      <w:r>
        <w:rPr>
          <w:rFonts w:hint="eastAsia" w:ascii="黑体" w:hAnsi="黑体" w:eastAsia="黑体" w:cs="黑体"/>
          <w:color w:val="auto"/>
          <w:sz w:val="48"/>
          <w:szCs w:val="48"/>
        </w:rPr>
        <w:t>方案</w:t>
      </w: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35"/>
        <w:gridCol w:w="5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2735" w:type="dxa"/>
            <w:tcBorders>
              <w:tl2br w:val="nil"/>
              <w:tr2bl w:val="nil"/>
            </w:tcBorders>
            <w:noWrap w:val="0"/>
            <w:vAlign w:val="center"/>
          </w:tcPr>
          <w:p>
            <w:pPr>
              <w:pStyle w:val="2"/>
              <w:jc w:val="right"/>
              <w:rPr>
                <w:rFonts w:hint="eastAsia"/>
                <w:b/>
                <w:bCs/>
                <w:color w:val="auto"/>
                <w:sz w:val="28"/>
                <w:szCs w:val="28"/>
                <w:vertAlign w:val="baseline"/>
                <w:lang w:val="en-GB" w:eastAsia="zh-CN"/>
              </w:rPr>
            </w:pPr>
            <w:r>
              <w:rPr>
                <w:rFonts w:hint="eastAsia"/>
                <w:b/>
                <w:bCs/>
                <w:color w:val="auto"/>
                <w:sz w:val="28"/>
                <w:szCs w:val="28"/>
                <w:vertAlign w:val="baseline"/>
                <w:lang w:val="en-GB" w:eastAsia="zh-CN"/>
              </w:rPr>
              <w:t>报价公司（盖章）：</w:t>
            </w:r>
          </w:p>
        </w:tc>
        <w:tc>
          <w:tcPr>
            <w:tcW w:w="5269" w:type="dxa"/>
            <w:tcBorders>
              <w:bottom w:val="single" w:color="auto" w:sz="4" w:space="0"/>
            </w:tcBorders>
            <w:noWrap w:val="0"/>
            <w:vAlign w:val="center"/>
          </w:tcPr>
          <w:p>
            <w:pPr>
              <w:pStyle w:val="2"/>
              <w:jc w:val="center"/>
              <w:rPr>
                <w:rFonts w:hint="eastAsia"/>
                <w:color w:val="auto"/>
                <w:sz w:val="28"/>
                <w:szCs w:val="28"/>
                <w:vertAlign w:val="baseline"/>
                <w:lang w:val="en-GB"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jc w:val="center"/>
        </w:trPr>
        <w:tc>
          <w:tcPr>
            <w:tcW w:w="2735" w:type="dxa"/>
            <w:tcBorders>
              <w:tl2br w:val="nil"/>
              <w:tr2bl w:val="nil"/>
            </w:tcBorders>
            <w:noWrap w:val="0"/>
            <w:vAlign w:val="center"/>
          </w:tcPr>
          <w:p>
            <w:pPr>
              <w:pStyle w:val="2"/>
              <w:jc w:val="right"/>
              <w:rPr>
                <w:rFonts w:hint="default"/>
                <w:b/>
                <w:bCs/>
                <w:color w:val="auto"/>
                <w:sz w:val="28"/>
                <w:szCs w:val="28"/>
                <w:vertAlign w:val="baseline"/>
                <w:lang w:val="en-US" w:eastAsia="zh-CN"/>
              </w:rPr>
            </w:pPr>
            <w:r>
              <w:rPr>
                <w:rFonts w:hint="eastAsia"/>
                <w:b/>
                <w:bCs/>
                <w:color w:val="auto"/>
                <w:sz w:val="28"/>
                <w:szCs w:val="28"/>
                <w:vertAlign w:val="baseline"/>
                <w:lang w:val="en-GB" w:eastAsia="zh-CN"/>
              </w:rPr>
              <w:t>联系人</w:t>
            </w:r>
            <w:r>
              <w:rPr>
                <w:rFonts w:hint="eastAsia"/>
                <w:b/>
                <w:bCs/>
                <w:color w:val="auto"/>
                <w:sz w:val="28"/>
                <w:szCs w:val="28"/>
                <w:vertAlign w:val="baseline"/>
                <w:lang w:val="en-US" w:eastAsia="zh-CN"/>
              </w:rPr>
              <w:t>/联系电话：</w:t>
            </w:r>
          </w:p>
        </w:tc>
        <w:tc>
          <w:tcPr>
            <w:tcW w:w="5269" w:type="dxa"/>
            <w:tcBorders>
              <w:top w:val="single" w:color="auto" w:sz="4" w:space="0"/>
              <w:bottom w:val="single" w:color="auto" w:sz="4" w:space="0"/>
            </w:tcBorders>
            <w:noWrap w:val="0"/>
            <w:vAlign w:val="center"/>
          </w:tcPr>
          <w:p>
            <w:pPr>
              <w:pStyle w:val="2"/>
              <w:jc w:val="center"/>
              <w:rPr>
                <w:rFonts w:hint="eastAsia"/>
                <w:color w:val="auto"/>
                <w:sz w:val="28"/>
                <w:szCs w:val="28"/>
                <w:vertAlign w:val="baseline"/>
                <w:lang w:val="en-GB"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2735" w:type="dxa"/>
            <w:tcBorders>
              <w:tl2br w:val="nil"/>
              <w:tr2bl w:val="nil"/>
            </w:tcBorders>
            <w:noWrap w:val="0"/>
            <w:vAlign w:val="center"/>
          </w:tcPr>
          <w:p>
            <w:pPr>
              <w:pStyle w:val="2"/>
              <w:jc w:val="right"/>
              <w:rPr>
                <w:rFonts w:hint="eastAsia"/>
                <w:b/>
                <w:bCs/>
                <w:color w:val="auto"/>
                <w:sz w:val="28"/>
                <w:szCs w:val="28"/>
                <w:vertAlign w:val="baseline"/>
                <w:lang w:val="en-GB" w:eastAsia="zh-CN"/>
              </w:rPr>
            </w:pPr>
            <w:r>
              <w:rPr>
                <w:rFonts w:hint="eastAsia"/>
                <w:b/>
                <w:bCs/>
                <w:color w:val="auto"/>
                <w:sz w:val="28"/>
                <w:szCs w:val="28"/>
                <w:vertAlign w:val="baseline"/>
                <w:lang w:val="en-GB" w:eastAsia="zh-CN"/>
              </w:rPr>
              <w:t>报价日期：</w:t>
            </w:r>
          </w:p>
        </w:tc>
        <w:tc>
          <w:tcPr>
            <w:tcW w:w="5269" w:type="dxa"/>
            <w:tcBorders>
              <w:top w:val="single" w:color="auto" w:sz="4" w:space="0"/>
              <w:bottom w:val="single" w:color="auto" w:sz="4" w:space="0"/>
            </w:tcBorders>
            <w:noWrap w:val="0"/>
            <w:vAlign w:val="center"/>
          </w:tcPr>
          <w:p>
            <w:pPr>
              <w:pStyle w:val="2"/>
              <w:jc w:val="center"/>
              <w:rPr>
                <w:rFonts w:hint="eastAsia"/>
                <w:color w:val="auto"/>
                <w:sz w:val="28"/>
                <w:szCs w:val="28"/>
                <w:vertAlign w:val="baseline"/>
                <w:lang w:val="en-GB" w:eastAsia="zh-CN"/>
              </w:rPr>
            </w:pPr>
          </w:p>
        </w:tc>
      </w:tr>
    </w:tbl>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pStyle w:val="2"/>
        <w:rPr>
          <w:rFonts w:hint="eastAsia"/>
          <w:color w:val="auto"/>
          <w:lang w:val="en-GB" w:eastAsia="zh-CN"/>
        </w:rPr>
      </w:pPr>
    </w:p>
    <w:p>
      <w:pPr>
        <w:jc w:val="center"/>
        <w:rPr>
          <w:rFonts w:hint="eastAsia" w:ascii="微软雅黑" w:hAnsi="微软雅黑" w:eastAsia="微软雅黑" w:cs="微软雅黑"/>
          <w:b/>
          <w:bCs/>
          <w:color w:val="auto"/>
          <w:sz w:val="36"/>
          <w:szCs w:val="36"/>
          <w:lang w:val="en-GB" w:eastAsia="zh-CN"/>
        </w:rPr>
      </w:pPr>
      <w:r>
        <w:rPr>
          <w:rFonts w:hint="eastAsia" w:ascii="微软雅黑" w:hAnsi="微软雅黑" w:eastAsia="微软雅黑" w:cs="微软雅黑"/>
          <w:b/>
          <w:bCs/>
          <w:color w:val="auto"/>
          <w:sz w:val="36"/>
          <w:szCs w:val="36"/>
          <w:lang w:val="en-GB" w:eastAsia="zh-CN"/>
        </w:rPr>
        <w:t>阳春市妇幼保健院</w:t>
      </w:r>
    </w:p>
    <w:p>
      <w:pPr>
        <w:pStyle w:val="2"/>
        <w:rPr>
          <w:rFonts w:hint="eastAsia"/>
        </w:rPr>
      </w:pPr>
    </w:p>
    <w:p>
      <w:pPr>
        <w:rPr>
          <w:rFonts w:hint="eastAsia" w:ascii="Cambria" w:hAnsi="Cambria" w:eastAsia="宋体" w:cs="Times New Roman"/>
        </w:rPr>
      </w:pPr>
      <w:r>
        <w:rPr>
          <w:rFonts w:hint="eastAsia" w:ascii="Cambria" w:hAnsi="Cambria" w:eastAsia="宋体" w:cs="Times New Roman"/>
        </w:rPr>
        <w:br w:type="page"/>
      </w:r>
    </w:p>
    <w:p>
      <w:pPr>
        <w:pStyle w:val="18"/>
        <w:outlineLvl w:val="0"/>
        <w:rPr>
          <w:rFonts w:hint="eastAsia" w:ascii="黑体" w:hAnsi="黑体" w:eastAsia="黑体" w:cs="黑体"/>
          <w:color w:val="auto"/>
          <w:sz w:val="44"/>
          <w:szCs w:val="44"/>
          <w:lang w:val="en-GB" w:eastAsia="zh-CN"/>
        </w:rPr>
      </w:pPr>
      <w:r>
        <w:rPr>
          <w:rFonts w:hint="eastAsia" w:ascii="黑体" w:hAnsi="黑体" w:eastAsia="黑体" w:cs="黑体"/>
          <w:color w:val="auto"/>
          <w:sz w:val="44"/>
          <w:szCs w:val="44"/>
          <w:lang w:val="en-GB" w:eastAsia="zh-CN"/>
        </w:rPr>
        <w:t>阳春市妇幼保健院银医通（二期）</w:t>
      </w:r>
    </w:p>
    <w:p>
      <w:pPr>
        <w:pStyle w:val="18"/>
        <w:outlineLvl w:val="0"/>
        <w:rPr>
          <w:rFonts w:hint="eastAsia" w:ascii="黑体" w:hAnsi="黑体" w:eastAsia="黑体" w:cs="黑体"/>
          <w:color w:val="auto"/>
          <w:sz w:val="44"/>
          <w:szCs w:val="44"/>
        </w:rPr>
      </w:pPr>
      <w:r>
        <w:rPr>
          <w:rFonts w:hint="eastAsia" w:ascii="黑体" w:hAnsi="黑体" w:eastAsia="黑体" w:cs="黑体"/>
          <w:color w:val="auto"/>
          <w:sz w:val="44"/>
          <w:szCs w:val="44"/>
          <w:lang w:eastAsia="zh-CN"/>
        </w:rPr>
        <w:t>项目</w:t>
      </w:r>
      <w:r>
        <w:rPr>
          <w:rFonts w:hint="eastAsia" w:ascii="黑体" w:hAnsi="黑体" w:eastAsia="黑体" w:cs="黑体"/>
          <w:color w:val="auto"/>
          <w:sz w:val="44"/>
          <w:szCs w:val="44"/>
        </w:rPr>
        <w:t>方案</w:t>
      </w:r>
    </w:p>
    <w:p>
      <w:pPr>
        <w:pStyle w:val="4"/>
        <w:keepNext w:val="0"/>
        <w:pageBreakBefore w:val="0"/>
        <w:numPr>
          <w:ilvl w:val="1"/>
          <w:numId w:val="0"/>
        </w:numPr>
        <w:spacing w:before="120" w:after="120"/>
        <w:jc w:val="both"/>
        <w:rPr>
          <w:rFonts w:hint="eastAsia" w:ascii="Cambria" w:hAnsi="Cambria" w:eastAsia="宋体" w:cs="Times New Roman"/>
        </w:rPr>
      </w:pPr>
    </w:p>
    <w:p>
      <w:pPr>
        <w:pStyle w:val="4"/>
        <w:keepNext w:val="0"/>
        <w:pageBreakBefore w:val="0"/>
        <w:numPr>
          <w:ilvl w:val="1"/>
          <w:numId w:val="0"/>
        </w:numPr>
        <w:spacing w:before="120" w:after="120"/>
        <w:jc w:val="center"/>
        <w:rPr>
          <w:rFonts w:ascii="宋体" w:hAnsi="宋体" w:eastAsia="宋体" w:cs="Times New Roman"/>
        </w:rPr>
      </w:pPr>
      <w:r>
        <w:rPr>
          <w:rFonts w:hint="eastAsia" w:ascii="Cambria" w:hAnsi="Cambria" w:eastAsia="宋体" w:cs="Times New Roman"/>
        </w:rPr>
        <w:t>建设内容一览表</w:t>
      </w:r>
      <w:bookmarkEnd w:id="0"/>
    </w:p>
    <w:tbl>
      <w:tblPr>
        <w:tblStyle w:val="9"/>
        <w:tblW w:w="8789"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2268"/>
        <w:gridCol w:w="860"/>
        <w:gridCol w:w="4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823" w:type="dxa"/>
            <w:vAlign w:val="center"/>
          </w:tcPr>
          <w:p>
            <w:pPr>
              <w:jc w:val="center"/>
              <w:rPr>
                <w:rFonts w:ascii="宋体" w:hAnsi="宋体" w:cs="Arial"/>
                <w:b/>
                <w:bCs/>
              </w:rPr>
            </w:pPr>
            <w:r>
              <w:rPr>
                <w:rFonts w:hint="eastAsia" w:ascii="宋体" w:hAnsi="宋体" w:cs="Arial"/>
                <w:b/>
                <w:bCs/>
              </w:rPr>
              <w:t>序号</w:t>
            </w:r>
          </w:p>
        </w:tc>
        <w:tc>
          <w:tcPr>
            <w:tcW w:w="2268" w:type="dxa"/>
            <w:vAlign w:val="center"/>
          </w:tcPr>
          <w:p>
            <w:pPr>
              <w:jc w:val="center"/>
              <w:rPr>
                <w:rFonts w:ascii="宋体" w:hAnsi="宋体" w:cs="Arial"/>
                <w:b/>
                <w:bCs/>
              </w:rPr>
            </w:pPr>
            <w:r>
              <w:rPr>
                <w:rFonts w:hint="eastAsia" w:ascii="宋体" w:hAnsi="宋体" w:cs="Arial"/>
                <w:b/>
                <w:bCs/>
              </w:rPr>
              <w:t>采购内容</w:t>
            </w:r>
          </w:p>
        </w:tc>
        <w:tc>
          <w:tcPr>
            <w:tcW w:w="860" w:type="dxa"/>
            <w:vAlign w:val="center"/>
          </w:tcPr>
          <w:p>
            <w:pPr>
              <w:jc w:val="center"/>
              <w:rPr>
                <w:rFonts w:ascii="宋体" w:hAnsi="宋体" w:cs="Arial"/>
                <w:b/>
                <w:bCs/>
              </w:rPr>
            </w:pPr>
            <w:r>
              <w:rPr>
                <w:rFonts w:hint="eastAsia" w:ascii="宋体" w:hAnsi="宋体" w:cs="Arial"/>
                <w:b/>
                <w:bCs/>
              </w:rPr>
              <w:t>数量</w:t>
            </w:r>
          </w:p>
        </w:tc>
        <w:tc>
          <w:tcPr>
            <w:tcW w:w="4838" w:type="dxa"/>
            <w:vAlign w:val="center"/>
          </w:tcPr>
          <w:p>
            <w:pPr>
              <w:jc w:val="center"/>
              <w:rPr>
                <w:rFonts w:ascii="宋体" w:hAnsi="宋体" w:cs="Arial"/>
                <w:b/>
                <w:bCs/>
              </w:rPr>
            </w:pPr>
            <w:r>
              <w:rPr>
                <w:rFonts w:hint="eastAsia" w:ascii="宋体" w:hAnsi="宋体" w:cs="Arial"/>
                <w:b/>
                <w:bC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823" w:type="dxa"/>
            <w:vAlign w:val="center"/>
          </w:tcPr>
          <w:p>
            <w:pPr>
              <w:spacing w:line="276" w:lineRule="auto"/>
              <w:jc w:val="center"/>
              <w:rPr>
                <w:rFonts w:ascii="宋体" w:hAnsi="宋体" w:cs="Arial"/>
              </w:rPr>
            </w:pPr>
            <w:r>
              <w:rPr>
                <w:rFonts w:hint="eastAsia" w:ascii="宋体" w:hAnsi="宋体" w:cs="Arial"/>
              </w:rPr>
              <w:t>1</w:t>
            </w:r>
          </w:p>
        </w:tc>
        <w:tc>
          <w:tcPr>
            <w:tcW w:w="2268" w:type="dxa"/>
            <w:vAlign w:val="center"/>
          </w:tcPr>
          <w:p>
            <w:pPr>
              <w:widowControl/>
              <w:spacing w:line="276" w:lineRule="auto"/>
              <w:jc w:val="center"/>
              <w:rPr>
                <w:rFonts w:ascii="宋体" w:hAnsi="宋体" w:cs="Arial"/>
              </w:rPr>
            </w:pPr>
            <w:r>
              <w:rPr>
                <w:rFonts w:hint="eastAsia" w:ascii="宋体" w:hAnsi="宋体" w:cs="Arial"/>
              </w:rPr>
              <w:t>医保电子处方流转</w:t>
            </w:r>
          </w:p>
        </w:tc>
        <w:tc>
          <w:tcPr>
            <w:tcW w:w="860" w:type="dxa"/>
            <w:vAlign w:val="center"/>
          </w:tcPr>
          <w:p>
            <w:pPr>
              <w:spacing w:line="276" w:lineRule="auto"/>
              <w:jc w:val="center"/>
              <w:rPr>
                <w:rFonts w:ascii="宋体" w:hAnsi="宋体" w:cs="Arial"/>
              </w:rPr>
            </w:pPr>
            <w:r>
              <w:rPr>
                <w:rFonts w:hint="eastAsia" w:ascii="宋体" w:hAnsi="宋体" w:cs="Arial"/>
              </w:rPr>
              <w:t>1套</w:t>
            </w:r>
          </w:p>
        </w:tc>
        <w:tc>
          <w:tcPr>
            <w:tcW w:w="4838" w:type="dxa"/>
            <w:vAlign w:val="center"/>
          </w:tcPr>
          <w:p>
            <w:pPr>
              <w:pStyle w:val="2"/>
              <w:spacing w:line="276" w:lineRule="auto"/>
              <w:rPr>
                <w:rFonts w:ascii="宋体" w:hAnsi="宋体" w:cs="Arial"/>
              </w:rPr>
            </w:pPr>
            <w:r>
              <w:rPr>
                <w:rFonts w:ascii="宋体" w:hAnsi="宋体" w:cs="Arial"/>
              </w:rPr>
              <w:t>H</w:t>
            </w:r>
            <w:r>
              <w:rPr>
                <w:rFonts w:hint="eastAsia" w:ascii="宋体" w:hAnsi="宋体" w:cs="Arial"/>
              </w:rPr>
              <w:t>is系统按官方医保电子处方流转相关接口技术文档要求进行改造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823" w:type="dxa"/>
            <w:vAlign w:val="center"/>
          </w:tcPr>
          <w:p>
            <w:pPr>
              <w:spacing w:line="276" w:lineRule="auto"/>
              <w:jc w:val="center"/>
              <w:rPr>
                <w:rFonts w:ascii="宋体" w:hAnsi="宋体" w:cs="Arial"/>
              </w:rPr>
            </w:pPr>
            <w:r>
              <w:rPr>
                <w:rFonts w:hint="eastAsia" w:ascii="宋体" w:hAnsi="宋体" w:cs="Arial"/>
              </w:rPr>
              <w:t>2</w:t>
            </w:r>
          </w:p>
        </w:tc>
        <w:tc>
          <w:tcPr>
            <w:tcW w:w="2268" w:type="dxa"/>
            <w:vAlign w:val="center"/>
          </w:tcPr>
          <w:p>
            <w:pPr>
              <w:widowControl/>
              <w:spacing w:line="276" w:lineRule="auto"/>
              <w:jc w:val="center"/>
              <w:rPr>
                <w:rFonts w:ascii="宋体" w:hAnsi="宋体" w:cs="Arial"/>
              </w:rPr>
            </w:pPr>
            <w:r>
              <w:rPr>
                <w:rFonts w:hint="eastAsia" w:ascii="宋体" w:hAnsi="宋体" w:cs="Arial"/>
              </w:rPr>
              <w:t>医保移动支付</w:t>
            </w:r>
          </w:p>
        </w:tc>
        <w:tc>
          <w:tcPr>
            <w:tcW w:w="860" w:type="dxa"/>
            <w:vAlign w:val="center"/>
          </w:tcPr>
          <w:p>
            <w:pPr>
              <w:spacing w:line="276" w:lineRule="auto"/>
              <w:jc w:val="center"/>
              <w:rPr>
                <w:rFonts w:ascii="宋体" w:hAnsi="宋体" w:cs="Arial"/>
              </w:rPr>
            </w:pPr>
            <w:r>
              <w:rPr>
                <w:rFonts w:hint="eastAsia" w:ascii="宋体" w:hAnsi="宋体" w:cs="Arial"/>
              </w:rPr>
              <w:t>1套</w:t>
            </w:r>
          </w:p>
        </w:tc>
        <w:tc>
          <w:tcPr>
            <w:tcW w:w="4838" w:type="dxa"/>
            <w:vAlign w:val="center"/>
          </w:tcPr>
          <w:p>
            <w:pPr>
              <w:pStyle w:val="2"/>
              <w:spacing w:line="276" w:lineRule="auto"/>
              <w:rPr>
                <w:rFonts w:ascii="宋体" w:hAnsi="宋体" w:cs="Arial"/>
              </w:rPr>
            </w:pPr>
            <w:r>
              <w:rPr>
                <w:rFonts w:ascii="宋体" w:hAnsi="宋体" w:cs="Arial"/>
              </w:rPr>
              <w:t>H</w:t>
            </w:r>
            <w:r>
              <w:rPr>
                <w:rFonts w:hint="eastAsia" w:ascii="宋体" w:hAnsi="宋体" w:cs="Arial"/>
              </w:rPr>
              <w:t>is系统和微信支付宝小程序按官方医保移动支付相关接口技术文档要求进行改造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823" w:type="dxa"/>
            <w:vAlign w:val="center"/>
          </w:tcPr>
          <w:p>
            <w:pPr>
              <w:spacing w:line="276" w:lineRule="auto"/>
              <w:jc w:val="center"/>
              <w:rPr>
                <w:rFonts w:ascii="宋体" w:hAnsi="宋体" w:cs="Arial"/>
              </w:rPr>
            </w:pPr>
            <w:r>
              <w:rPr>
                <w:rFonts w:hint="eastAsia" w:ascii="宋体" w:hAnsi="宋体" w:cs="Arial"/>
              </w:rPr>
              <w:t>3</w:t>
            </w:r>
          </w:p>
        </w:tc>
        <w:tc>
          <w:tcPr>
            <w:tcW w:w="2268" w:type="dxa"/>
            <w:vAlign w:val="center"/>
          </w:tcPr>
          <w:p>
            <w:pPr>
              <w:widowControl/>
              <w:spacing w:line="276" w:lineRule="auto"/>
              <w:jc w:val="center"/>
              <w:rPr>
                <w:rFonts w:ascii="宋体" w:hAnsi="宋体" w:cs="Arial"/>
              </w:rPr>
            </w:pPr>
            <w:r>
              <w:rPr>
                <w:rFonts w:hint="eastAsia" w:ascii="宋体" w:hAnsi="宋体" w:cs="Arial"/>
              </w:rPr>
              <w:t>电子健康码</w:t>
            </w:r>
          </w:p>
        </w:tc>
        <w:tc>
          <w:tcPr>
            <w:tcW w:w="860" w:type="dxa"/>
            <w:vAlign w:val="center"/>
          </w:tcPr>
          <w:p>
            <w:pPr>
              <w:spacing w:line="276" w:lineRule="auto"/>
              <w:jc w:val="center"/>
              <w:rPr>
                <w:rFonts w:ascii="宋体" w:hAnsi="宋体" w:cs="Arial"/>
              </w:rPr>
            </w:pPr>
            <w:r>
              <w:rPr>
                <w:rFonts w:hint="eastAsia" w:ascii="宋体" w:hAnsi="宋体" w:cs="Arial"/>
              </w:rPr>
              <w:t>1套</w:t>
            </w:r>
          </w:p>
        </w:tc>
        <w:tc>
          <w:tcPr>
            <w:tcW w:w="4838" w:type="dxa"/>
            <w:vAlign w:val="center"/>
          </w:tcPr>
          <w:p>
            <w:pPr>
              <w:spacing w:line="276" w:lineRule="auto"/>
              <w:rPr>
                <w:rFonts w:ascii="宋体" w:hAnsi="宋体" w:cs="Arial"/>
              </w:rPr>
            </w:pPr>
            <w:r>
              <w:rPr>
                <w:rFonts w:hint="eastAsia" w:ascii="宋体" w:hAnsi="宋体" w:cs="Arial"/>
              </w:rPr>
              <w:t>自助机、微信支付宝小程序按官方电子健康码相关接口技术文档要求进行改造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823" w:type="dxa"/>
            <w:vAlign w:val="center"/>
          </w:tcPr>
          <w:p>
            <w:pPr>
              <w:spacing w:line="276" w:lineRule="auto"/>
              <w:jc w:val="center"/>
              <w:rPr>
                <w:rFonts w:ascii="宋体" w:hAnsi="宋体" w:cs="Arial"/>
              </w:rPr>
            </w:pPr>
            <w:r>
              <w:rPr>
                <w:rFonts w:hint="eastAsia" w:ascii="宋体" w:hAnsi="宋体" w:cs="Arial"/>
              </w:rPr>
              <w:t>4</w:t>
            </w:r>
          </w:p>
        </w:tc>
        <w:tc>
          <w:tcPr>
            <w:tcW w:w="2268" w:type="dxa"/>
            <w:vAlign w:val="center"/>
          </w:tcPr>
          <w:p>
            <w:pPr>
              <w:widowControl/>
              <w:spacing w:line="276" w:lineRule="auto"/>
              <w:jc w:val="center"/>
              <w:rPr>
                <w:rFonts w:ascii="宋体" w:hAnsi="宋体" w:cs="Arial"/>
              </w:rPr>
            </w:pPr>
            <w:r>
              <w:rPr>
                <w:rFonts w:hint="eastAsia" w:ascii="宋体" w:hAnsi="宋体" w:cs="Arial"/>
              </w:rPr>
              <w:t>电子发票查询功能</w:t>
            </w:r>
          </w:p>
        </w:tc>
        <w:tc>
          <w:tcPr>
            <w:tcW w:w="860" w:type="dxa"/>
            <w:vAlign w:val="center"/>
          </w:tcPr>
          <w:p>
            <w:pPr>
              <w:spacing w:line="276" w:lineRule="auto"/>
              <w:jc w:val="center"/>
              <w:rPr>
                <w:rFonts w:ascii="宋体" w:hAnsi="宋体" w:cs="Arial"/>
              </w:rPr>
            </w:pPr>
            <w:r>
              <w:rPr>
                <w:rFonts w:hint="eastAsia" w:ascii="宋体" w:hAnsi="宋体" w:cs="Arial"/>
              </w:rPr>
              <w:t>1套</w:t>
            </w:r>
          </w:p>
        </w:tc>
        <w:tc>
          <w:tcPr>
            <w:tcW w:w="4838" w:type="dxa"/>
            <w:vAlign w:val="center"/>
          </w:tcPr>
          <w:p>
            <w:pPr>
              <w:spacing w:line="276" w:lineRule="auto"/>
              <w:rPr>
                <w:rFonts w:ascii="宋体" w:hAnsi="宋体" w:cs="Arial"/>
              </w:rPr>
            </w:pPr>
            <w:r>
              <w:rPr>
                <w:rFonts w:hint="eastAsia" w:ascii="宋体" w:hAnsi="宋体" w:cs="Arial"/>
              </w:rPr>
              <w:t>微信支付宝小程序功能改造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823" w:type="dxa"/>
            <w:vAlign w:val="center"/>
          </w:tcPr>
          <w:p>
            <w:pPr>
              <w:spacing w:line="276" w:lineRule="auto"/>
              <w:jc w:val="center"/>
              <w:rPr>
                <w:rFonts w:ascii="宋体" w:hAnsi="宋体" w:cs="Arial"/>
              </w:rPr>
            </w:pPr>
            <w:r>
              <w:rPr>
                <w:rFonts w:hint="eastAsia" w:ascii="宋体" w:hAnsi="宋体" w:cs="Arial"/>
              </w:rPr>
              <w:t>5</w:t>
            </w:r>
          </w:p>
        </w:tc>
        <w:tc>
          <w:tcPr>
            <w:tcW w:w="2268" w:type="dxa"/>
            <w:vAlign w:val="center"/>
          </w:tcPr>
          <w:p>
            <w:pPr>
              <w:widowControl/>
              <w:spacing w:line="276" w:lineRule="auto"/>
              <w:jc w:val="center"/>
              <w:rPr>
                <w:rFonts w:ascii="宋体" w:hAnsi="宋体" w:cs="Arial"/>
              </w:rPr>
            </w:pPr>
            <w:r>
              <w:rPr>
                <w:rFonts w:hint="eastAsia" w:ascii="宋体" w:hAnsi="宋体" w:cs="Arial"/>
              </w:rPr>
              <w:t>处方扫码支付功能</w:t>
            </w:r>
          </w:p>
        </w:tc>
        <w:tc>
          <w:tcPr>
            <w:tcW w:w="860" w:type="dxa"/>
            <w:vAlign w:val="center"/>
          </w:tcPr>
          <w:p>
            <w:pPr>
              <w:spacing w:line="276" w:lineRule="auto"/>
              <w:jc w:val="center"/>
              <w:rPr>
                <w:rFonts w:ascii="宋体" w:hAnsi="宋体" w:cs="Arial"/>
              </w:rPr>
            </w:pPr>
            <w:r>
              <w:rPr>
                <w:rFonts w:hint="eastAsia" w:ascii="宋体" w:hAnsi="宋体" w:cs="Arial"/>
              </w:rPr>
              <w:t>1套</w:t>
            </w:r>
          </w:p>
        </w:tc>
        <w:tc>
          <w:tcPr>
            <w:tcW w:w="4838" w:type="dxa"/>
            <w:vAlign w:val="center"/>
          </w:tcPr>
          <w:p>
            <w:pPr>
              <w:pStyle w:val="2"/>
              <w:spacing w:line="276" w:lineRule="auto"/>
              <w:rPr>
                <w:rFonts w:ascii="宋体" w:hAnsi="宋体" w:cs="Arial"/>
              </w:rPr>
            </w:pPr>
            <w:r>
              <w:rPr>
                <w:rFonts w:hint="eastAsia" w:ascii="宋体" w:hAnsi="宋体" w:cs="Arial"/>
              </w:rPr>
              <w:t>微信支付宝小程序功能改造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823" w:type="dxa"/>
            <w:vAlign w:val="center"/>
          </w:tcPr>
          <w:p>
            <w:pPr>
              <w:spacing w:line="276" w:lineRule="auto"/>
              <w:jc w:val="center"/>
              <w:rPr>
                <w:rFonts w:ascii="宋体" w:hAnsi="宋体" w:cs="Arial"/>
              </w:rPr>
            </w:pPr>
            <w:r>
              <w:rPr>
                <w:rFonts w:hint="eastAsia" w:ascii="宋体" w:hAnsi="宋体" w:cs="Arial"/>
              </w:rPr>
              <w:t>6</w:t>
            </w:r>
          </w:p>
        </w:tc>
        <w:tc>
          <w:tcPr>
            <w:tcW w:w="2268" w:type="dxa"/>
            <w:vAlign w:val="center"/>
          </w:tcPr>
          <w:p>
            <w:pPr>
              <w:widowControl/>
              <w:spacing w:line="276" w:lineRule="auto"/>
              <w:jc w:val="center"/>
              <w:rPr>
                <w:rFonts w:ascii="宋体" w:hAnsi="宋体" w:cs="Arial"/>
              </w:rPr>
            </w:pPr>
            <w:r>
              <w:rPr>
                <w:rFonts w:hint="eastAsia" w:ascii="宋体" w:hAnsi="宋体" w:cs="Arial"/>
              </w:rPr>
              <w:t>条码机</w:t>
            </w:r>
            <w:bookmarkStart w:id="7" w:name="_GoBack"/>
            <w:bookmarkEnd w:id="7"/>
          </w:p>
        </w:tc>
        <w:tc>
          <w:tcPr>
            <w:tcW w:w="860" w:type="dxa"/>
            <w:vAlign w:val="center"/>
          </w:tcPr>
          <w:p>
            <w:pPr>
              <w:spacing w:line="276" w:lineRule="auto"/>
              <w:jc w:val="center"/>
              <w:rPr>
                <w:rFonts w:ascii="宋体" w:hAnsi="宋体" w:cs="Arial"/>
              </w:rPr>
            </w:pPr>
            <w:r>
              <w:rPr>
                <w:rFonts w:hint="eastAsia" w:ascii="宋体" w:hAnsi="宋体" w:cs="Arial"/>
              </w:rPr>
              <w:t>2台</w:t>
            </w:r>
          </w:p>
        </w:tc>
        <w:tc>
          <w:tcPr>
            <w:tcW w:w="4838" w:type="dxa"/>
            <w:vAlign w:val="center"/>
          </w:tcPr>
          <w:p>
            <w:pPr>
              <w:pStyle w:val="2"/>
              <w:spacing w:line="276" w:lineRule="auto"/>
              <w:rPr>
                <w:rFonts w:ascii="宋体" w:hAnsi="宋体" w:cs="Arial"/>
              </w:rPr>
            </w:pPr>
            <w:r>
              <w:rPr>
                <w:rFonts w:hint="eastAsia" w:ascii="宋体" w:hAnsi="宋体" w:cs="Arial"/>
              </w:rPr>
              <w:t>热敏条码机，易撕纸，打印宽度&gt;=108mm,,换纸方便</w:t>
            </w:r>
          </w:p>
        </w:tc>
      </w:tr>
    </w:tbl>
    <w:p>
      <w:pPr>
        <w:pStyle w:val="3"/>
      </w:pPr>
      <w:r>
        <w:rPr>
          <w:rFonts w:hint="eastAsia"/>
        </w:rPr>
        <w:t>建设内容</w:t>
      </w:r>
      <w:bookmarkEnd w:id="1"/>
      <w:bookmarkEnd w:id="2"/>
    </w:p>
    <w:p>
      <w:pPr>
        <w:pStyle w:val="4"/>
        <w:pageBreakBefore w:val="0"/>
      </w:pPr>
      <w:bookmarkStart w:id="3" w:name="_Toc4029"/>
      <w:r>
        <w:rPr>
          <w:rFonts w:hint="eastAsia"/>
        </w:rPr>
        <w:t>1</w:t>
      </w:r>
      <w:bookmarkEnd w:id="3"/>
      <w:r>
        <w:rPr>
          <w:rFonts w:hint="eastAsia"/>
          <w:lang w:eastAsia="zh-CN"/>
        </w:rPr>
        <w:t>、</w:t>
      </w:r>
      <w:r>
        <w:rPr>
          <w:rFonts w:hint="eastAsia"/>
        </w:rPr>
        <w:t xml:space="preserve"> HIS医保电子处方流转接口</w:t>
      </w:r>
    </w:p>
    <w:p>
      <w:pPr>
        <w:pStyle w:val="5"/>
      </w:pPr>
      <w:bookmarkStart w:id="4" w:name="_Toc202"/>
      <w:r>
        <w:rPr>
          <w:rFonts w:hint="eastAsia"/>
        </w:rPr>
        <w:t>1.1接口清单及功能</w:t>
      </w:r>
      <w:bookmarkEnd w:id="4"/>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75"/>
        <w:gridCol w:w="5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00" w:type="dxa"/>
            <w:noWrap/>
            <w:vAlign w:val="center"/>
          </w:tcPr>
          <w:p>
            <w:pPr>
              <w:jc w:val="center"/>
              <w:rPr>
                <w:rFonts w:ascii="宋体" w:hAnsi="宋体" w:cs="宋体"/>
                <w:b/>
                <w:bCs/>
                <w:color w:val="262626"/>
              </w:rPr>
            </w:pPr>
            <w:r>
              <w:rPr>
                <w:rFonts w:hint="eastAsia" w:ascii="宋体" w:hAnsi="宋体" w:cs="宋体"/>
                <w:b/>
                <w:bCs/>
                <w:color w:val="262626"/>
              </w:rPr>
              <w:t>序号</w:t>
            </w:r>
          </w:p>
        </w:tc>
        <w:tc>
          <w:tcPr>
            <w:tcW w:w="2475" w:type="dxa"/>
            <w:noWrap/>
            <w:vAlign w:val="center"/>
          </w:tcPr>
          <w:p>
            <w:pPr>
              <w:jc w:val="center"/>
              <w:rPr>
                <w:rFonts w:ascii="宋体" w:hAnsi="宋体" w:cs="宋体"/>
                <w:b/>
                <w:bCs/>
                <w:color w:val="262626"/>
              </w:rPr>
            </w:pPr>
            <w:r>
              <w:rPr>
                <w:rFonts w:hint="eastAsia" w:ascii="宋体" w:hAnsi="宋体" w:cs="宋体"/>
                <w:b/>
                <w:bCs/>
                <w:color w:val="262626"/>
              </w:rPr>
              <w:t>接口清单</w:t>
            </w:r>
          </w:p>
        </w:tc>
        <w:tc>
          <w:tcPr>
            <w:tcW w:w="5743" w:type="dxa"/>
            <w:noWrap/>
            <w:vAlign w:val="center"/>
          </w:tcPr>
          <w:p>
            <w:pPr>
              <w:jc w:val="center"/>
              <w:rPr>
                <w:rFonts w:ascii="宋体" w:hAnsi="宋体" w:cs="宋体"/>
                <w:b/>
                <w:bCs/>
                <w:color w:val="262626"/>
              </w:rPr>
            </w:pPr>
            <w:r>
              <w:rPr>
                <w:rFonts w:hint="eastAsia" w:ascii="宋体" w:hAnsi="宋体" w:cs="宋体"/>
                <w:b/>
                <w:bCs/>
                <w:kern w:val="0"/>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noWrap/>
            <w:vAlign w:val="center"/>
          </w:tcPr>
          <w:p>
            <w:pPr>
              <w:jc w:val="center"/>
              <w:rPr>
                <w:rFonts w:ascii="宋体" w:hAnsi="宋体" w:cs="宋体"/>
              </w:rPr>
            </w:pPr>
            <w:r>
              <w:rPr>
                <w:rFonts w:hint="eastAsia" w:ascii="宋体" w:hAnsi="宋体" w:cs="宋体"/>
              </w:rPr>
              <w:t>1</w:t>
            </w:r>
          </w:p>
        </w:tc>
        <w:tc>
          <w:tcPr>
            <w:tcW w:w="2475" w:type="dxa"/>
            <w:noWrap/>
            <w:vAlign w:val="center"/>
          </w:tcPr>
          <w:p>
            <w:pPr>
              <w:jc w:val="center"/>
              <w:rPr>
                <w:rFonts w:ascii="宋体" w:hAnsi="宋体" w:cs="宋体"/>
                <w:sz w:val="21"/>
                <w:szCs w:val="22"/>
              </w:rPr>
            </w:pPr>
            <w:r>
              <w:rPr>
                <w:rFonts w:hint="eastAsia" w:ascii="宋体" w:hAnsi="宋体" w:cs="宋体"/>
                <w:color w:val="000000"/>
                <w:sz w:val="21"/>
              </w:rPr>
              <w:t>查询药店列表</w:t>
            </w:r>
          </w:p>
        </w:tc>
        <w:tc>
          <w:tcPr>
            <w:tcW w:w="5743" w:type="dxa"/>
            <w:noWrap/>
            <w:vAlign w:val="center"/>
          </w:tcPr>
          <w:p>
            <w:pPr>
              <w:jc w:val="left"/>
              <w:rPr>
                <w:rFonts w:ascii="宋体" w:hAnsi="宋体" w:cs="宋体"/>
                <w:sz w:val="21"/>
                <w:szCs w:val="22"/>
              </w:rPr>
            </w:pPr>
            <w:r>
              <w:rPr>
                <w:rFonts w:hint="eastAsia" w:ascii="宋体" w:hAnsi="宋体" w:cs="宋体"/>
                <w:color w:val="000000"/>
                <w:sz w:val="21"/>
              </w:rPr>
              <w:t>通过此交易分页查询满足处方里列的所有药品数量的药店列表。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00" w:type="dxa"/>
            <w:noWrap/>
            <w:vAlign w:val="center"/>
          </w:tcPr>
          <w:p>
            <w:pPr>
              <w:jc w:val="center"/>
              <w:rPr>
                <w:rFonts w:ascii="宋体" w:hAnsi="宋体" w:cs="宋体"/>
              </w:rPr>
            </w:pPr>
            <w:r>
              <w:rPr>
                <w:rFonts w:hint="eastAsia" w:ascii="宋体" w:hAnsi="宋体" w:cs="宋体"/>
              </w:rPr>
              <w:t>2</w:t>
            </w:r>
          </w:p>
        </w:tc>
        <w:tc>
          <w:tcPr>
            <w:tcW w:w="2475" w:type="dxa"/>
            <w:noWrap/>
            <w:vAlign w:val="center"/>
          </w:tcPr>
          <w:p>
            <w:pPr>
              <w:jc w:val="center"/>
              <w:rPr>
                <w:rFonts w:ascii="宋体" w:hAnsi="宋体" w:cs="宋体"/>
                <w:sz w:val="21"/>
                <w:szCs w:val="22"/>
              </w:rPr>
            </w:pPr>
            <w:r>
              <w:rPr>
                <w:rFonts w:hint="eastAsia" w:ascii="宋体" w:hAnsi="宋体" w:cs="宋体"/>
                <w:color w:val="000000"/>
                <w:sz w:val="21"/>
              </w:rPr>
              <w:t>查询处方药品信息</w:t>
            </w:r>
          </w:p>
        </w:tc>
        <w:tc>
          <w:tcPr>
            <w:tcW w:w="5743" w:type="dxa"/>
            <w:noWrap/>
            <w:vAlign w:val="center"/>
          </w:tcPr>
          <w:p>
            <w:pPr>
              <w:jc w:val="left"/>
              <w:rPr>
                <w:rFonts w:ascii="宋体" w:hAnsi="宋体" w:cs="宋体"/>
                <w:sz w:val="21"/>
                <w:szCs w:val="22"/>
              </w:rPr>
            </w:pPr>
            <w:r>
              <w:rPr>
                <w:rFonts w:hint="eastAsia" w:ascii="宋体" w:hAnsi="宋体" w:cs="宋体"/>
                <w:color w:val="000000"/>
                <w:sz w:val="21"/>
              </w:rPr>
              <w:t>通过此交易查询药店的药品信息。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900" w:type="dxa"/>
            <w:vAlign w:val="center"/>
          </w:tcPr>
          <w:p>
            <w:pPr>
              <w:jc w:val="center"/>
              <w:rPr>
                <w:rFonts w:ascii="宋体" w:hAnsi="宋体" w:cs="宋体"/>
              </w:rPr>
            </w:pPr>
            <w:r>
              <w:rPr>
                <w:rFonts w:hint="eastAsia" w:ascii="宋体" w:hAnsi="宋体" w:cs="宋体"/>
              </w:rPr>
              <w:t>3</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电子处方上传预核验</w:t>
            </w:r>
          </w:p>
        </w:tc>
        <w:tc>
          <w:tcPr>
            <w:tcW w:w="5743" w:type="dxa"/>
            <w:vAlign w:val="center"/>
          </w:tcPr>
          <w:p>
            <w:pPr>
              <w:jc w:val="left"/>
              <w:rPr>
                <w:rFonts w:ascii="宋体" w:hAnsi="宋体" w:cs="宋体"/>
                <w:sz w:val="21"/>
                <w:szCs w:val="22"/>
              </w:rPr>
            </w:pPr>
            <w:r>
              <w:rPr>
                <w:rFonts w:hint="eastAsia" w:ascii="宋体" w:hAnsi="宋体" w:cs="宋体"/>
                <w:color w:val="000000"/>
                <w:sz w:val="21"/>
              </w:rPr>
              <w:t>通过此交易，定点医疗机构实现医师开方时的医保电子处方信息预核验，预核验通过的处方才能进行上传，上传时处方须经定点医疗机构医保医师签名且院内医保药师审核通过。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900" w:type="dxa"/>
            <w:vAlign w:val="center"/>
          </w:tcPr>
          <w:p>
            <w:pPr>
              <w:jc w:val="center"/>
              <w:rPr>
                <w:rFonts w:ascii="宋体" w:hAnsi="宋体" w:cs="宋体"/>
              </w:rPr>
            </w:pPr>
            <w:r>
              <w:rPr>
                <w:rFonts w:hint="eastAsia" w:ascii="宋体" w:hAnsi="宋体" w:cs="宋体"/>
              </w:rPr>
              <w:t>4</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电子处方医保电子签名</w:t>
            </w:r>
          </w:p>
        </w:tc>
        <w:tc>
          <w:tcPr>
            <w:tcW w:w="5743" w:type="dxa"/>
            <w:vAlign w:val="center"/>
          </w:tcPr>
          <w:p>
            <w:pPr>
              <w:jc w:val="left"/>
              <w:rPr>
                <w:rFonts w:ascii="宋体" w:hAnsi="宋体" w:cs="宋体"/>
                <w:sz w:val="21"/>
                <w:szCs w:val="22"/>
              </w:rPr>
            </w:pPr>
            <w:r>
              <w:rPr>
                <w:rFonts w:hint="eastAsia" w:ascii="宋体" w:hAnsi="宋体" w:cs="宋体"/>
                <w:color w:val="000000"/>
                <w:sz w:val="21"/>
              </w:rPr>
              <w:t>此接口是对下一步的【电子处方上传】部分入参（不包括入参中的rx_file和sign_digest）和原始处方电子文件进行电子签名。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5</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电子处方上传</w:t>
            </w:r>
          </w:p>
        </w:tc>
        <w:tc>
          <w:tcPr>
            <w:tcW w:w="5743" w:type="dxa"/>
            <w:vAlign w:val="center"/>
          </w:tcPr>
          <w:p>
            <w:pPr>
              <w:jc w:val="left"/>
              <w:rPr>
                <w:rFonts w:ascii="宋体" w:hAnsi="宋体" w:cs="宋体"/>
                <w:sz w:val="21"/>
                <w:szCs w:val="22"/>
              </w:rPr>
            </w:pPr>
            <w:r>
              <w:rPr>
                <w:rFonts w:hint="eastAsia" w:ascii="宋体" w:hAnsi="宋体" w:cs="宋体"/>
                <w:color w:val="000000"/>
                <w:sz w:val="21"/>
              </w:rPr>
              <w:t>定点医疗机构将医保电子签名后的签名结果及处方文件上传至医保电子处方中心。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6</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电子处方撤销</w:t>
            </w:r>
          </w:p>
        </w:tc>
        <w:tc>
          <w:tcPr>
            <w:tcW w:w="5743" w:type="dxa"/>
            <w:vAlign w:val="center"/>
          </w:tcPr>
          <w:p>
            <w:pPr>
              <w:jc w:val="left"/>
              <w:rPr>
                <w:rFonts w:ascii="宋体" w:hAnsi="宋体" w:cs="宋体"/>
                <w:sz w:val="21"/>
                <w:szCs w:val="22"/>
              </w:rPr>
            </w:pPr>
            <w:r>
              <w:rPr>
                <w:rFonts w:hint="eastAsia" w:ascii="宋体" w:hAnsi="宋体" w:cs="宋体"/>
                <w:color w:val="000000"/>
                <w:sz w:val="21"/>
              </w:rPr>
              <w:t>通过此交易，定点医疗机构对还未结算的异常电子处方进行撤销操作。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7</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电子处方信息查询</w:t>
            </w:r>
          </w:p>
        </w:tc>
        <w:tc>
          <w:tcPr>
            <w:tcW w:w="5743" w:type="dxa"/>
            <w:vAlign w:val="center"/>
          </w:tcPr>
          <w:p>
            <w:pPr>
              <w:jc w:val="left"/>
              <w:rPr>
                <w:rFonts w:ascii="宋体" w:hAnsi="宋体" w:cs="宋体"/>
                <w:sz w:val="21"/>
                <w:szCs w:val="22"/>
              </w:rPr>
            </w:pPr>
            <w:r>
              <w:rPr>
                <w:rFonts w:hint="eastAsia" w:ascii="宋体" w:hAnsi="宋体" w:cs="宋体"/>
                <w:color w:val="000000"/>
                <w:sz w:val="21"/>
              </w:rPr>
              <w:t>通过此交易，定点医疗机构可查询上传的患者处方详情信息及状态。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8</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电子处方审核结果查询</w:t>
            </w:r>
          </w:p>
        </w:tc>
        <w:tc>
          <w:tcPr>
            <w:tcW w:w="5743" w:type="dxa"/>
            <w:vAlign w:val="center"/>
          </w:tcPr>
          <w:p>
            <w:pPr>
              <w:jc w:val="left"/>
              <w:rPr>
                <w:rFonts w:ascii="宋体" w:hAnsi="宋体" w:cs="宋体"/>
                <w:sz w:val="21"/>
                <w:szCs w:val="22"/>
              </w:rPr>
            </w:pPr>
            <w:r>
              <w:rPr>
                <w:rFonts w:hint="eastAsia" w:ascii="宋体" w:hAnsi="宋体" w:cs="宋体"/>
                <w:color w:val="000000"/>
                <w:sz w:val="21"/>
              </w:rPr>
              <w:t>通过此交易，定点医疗机构可主动查询为患者开具的处方在取药机构的处方审核结果信息。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00" w:type="dxa"/>
            <w:vAlign w:val="center"/>
          </w:tcPr>
          <w:p>
            <w:pPr>
              <w:jc w:val="center"/>
              <w:rPr>
                <w:rFonts w:ascii="宋体" w:hAnsi="宋体" w:cs="宋体"/>
              </w:rPr>
            </w:pPr>
            <w:r>
              <w:rPr>
                <w:rFonts w:hint="eastAsia" w:ascii="宋体" w:hAnsi="宋体" w:cs="宋体"/>
              </w:rPr>
              <w:t>9</w:t>
            </w:r>
          </w:p>
        </w:tc>
        <w:tc>
          <w:tcPr>
            <w:tcW w:w="2475" w:type="dxa"/>
            <w:vAlign w:val="center"/>
          </w:tcPr>
          <w:p>
            <w:pPr>
              <w:jc w:val="center"/>
              <w:rPr>
                <w:rFonts w:ascii="宋体" w:hAnsi="宋体" w:cs="宋体"/>
                <w:sz w:val="21"/>
                <w:szCs w:val="22"/>
              </w:rPr>
            </w:pPr>
            <w:r>
              <w:rPr>
                <w:rFonts w:hint="eastAsia" w:ascii="宋体" w:hAnsi="宋体" w:cs="宋体"/>
                <w:color w:val="000000"/>
                <w:sz w:val="21"/>
              </w:rPr>
              <w:t>电子处方取药结果查询</w:t>
            </w:r>
          </w:p>
        </w:tc>
        <w:tc>
          <w:tcPr>
            <w:tcW w:w="5743" w:type="dxa"/>
            <w:vAlign w:val="center"/>
          </w:tcPr>
          <w:p>
            <w:pPr>
              <w:jc w:val="left"/>
              <w:rPr>
                <w:rFonts w:ascii="宋体" w:hAnsi="宋体" w:cs="宋体"/>
                <w:sz w:val="21"/>
                <w:szCs w:val="22"/>
              </w:rPr>
            </w:pPr>
            <w:r>
              <w:rPr>
                <w:rFonts w:hint="eastAsia" w:ascii="宋体" w:hAnsi="宋体" w:cs="宋体"/>
                <w:color w:val="000000"/>
                <w:sz w:val="21"/>
              </w:rPr>
              <w:t>通过此交易，定点医疗机构可主动查询为患者开具的处方在取药机构的处方结算结果信息。</w:t>
            </w:r>
          </w:p>
        </w:tc>
      </w:tr>
    </w:tbl>
    <w:p>
      <w:pPr>
        <w:pStyle w:val="2"/>
      </w:pPr>
    </w:p>
    <w:p>
      <w:pPr>
        <w:pStyle w:val="4"/>
        <w:pageBreakBefore w:val="0"/>
      </w:pPr>
      <w:bookmarkStart w:id="5" w:name="_Toc17865"/>
      <w:r>
        <w:rPr>
          <w:rFonts w:hint="eastAsia"/>
        </w:rPr>
        <w:t>2</w:t>
      </w:r>
      <w:r>
        <w:rPr>
          <w:rFonts w:hint="eastAsia"/>
          <w:lang w:eastAsia="zh-CN"/>
        </w:rPr>
        <w:t>、</w:t>
      </w:r>
      <w:r>
        <w:rPr>
          <w:rFonts w:hint="eastAsia"/>
        </w:rPr>
        <w:t>HIS</w:t>
      </w:r>
      <w:r>
        <w:rPr>
          <w:rFonts w:hint="eastAsia"/>
          <w:szCs w:val="24"/>
        </w:rPr>
        <w:t>医保移动支付接口</w:t>
      </w:r>
      <w:bookmarkEnd w:id="5"/>
    </w:p>
    <w:p>
      <w:pPr>
        <w:pStyle w:val="5"/>
      </w:pPr>
      <w:bookmarkStart w:id="6" w:name="_Toc13321"/>
      <w:r>
        <w:rPr>
          <w:rFonts w:hint="eastAsia"/>
        </w:rPr>
        <w:t>2.1接口清单及功能</w:t>
      </w:r>
      <w:bookmarkEnd w:id="6"/>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75"/>
        <w:gridCol w:w="5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00" w:type="dxa"/>
            <w:noWrap/>
            <w:vAlign w:val="center"/>
          </w:tcPr>
          <w:p>
            <w:pPr>
              <w:jc w:val="center"/>
              <w:rPr>
                <w:rFonts w:ascii="宋体" w:hAnsi="宋体" w:cs="宋体"/>
                <w:b/>
                <w:bCs/>
                <w:color w:val="262626"/>
              </w:rPr>
            </w:pPr>
            <w:r>
              <w:rPr>
                <w:rFonts w:hint="eastAsia" w:ascii="宋体" w:hAnsi="宋体" w:cs="宋体"/>
                <w:b/>
                <w:bCs/>
                <w:color w:val="262626"/>
              </w:rPr>
              <w:t>序号</w:t>
            </w:r>
          </w:p>
        </w:tc>
        <w:tc>
          <w:tcPr>
            <w:tcW w:w="2475" w:type="dxa"/>
            <w:noWrap/>
            <w:vAlign w:val="center"/>
          </w:tcPr>
          <w:p>
            <w:pPr>
              <w:jc w:val="center"/>
              <w:rPr>
                <w:rFonts w:ascii="宋体" w:hAnsi="宋体" w:cs="宋体"/>
                <w:b/>
                <w:bCs/>
                <w:color w:val="262626"/>
              </w:rPr>
            </w:pPr>
            <w:r>
              <w:rPr>
                <w:rFonts w:hint="eastAsia" w:ascii="宋体" w:hAnsi="宋体" w:cs="宋体"/>
                <w:b/>
                <w:bCs/>
                <w:color w:val="262626"/>
              </w:rPr>
              <w:t>接口清单</w:t>
            </w:r>
          </w:p>
        </w:tc>
        <w:tc>
          <w:tcPr>
            <w:tcW w:w="5743" w:type="dxa"/>
            <w:noWrap/>
            <w:vAlign w:val="center"/>
          </w:tcPr>
          <w:p>
            <w:pPr>
              <w:jc w:val="center"/>
              <w:rPr>
                <w:rFonts w:ascii="宋体" w:hAnsi="宋体" w:cs="宋体"/>
                <w:b/>
                <w:bCs/>
                <w:color w:val="262626"/>
              </w:rPr>
            </w:pPr>
            <w:r>
              <w:rPr>
                <w:rFonts w:hint="eastAsia" w:ascii="宋体" w:hAnsi="宋体" w:cs="宋体"/>
                <w:b/>
                <w:bCs/>
                <w:kern w:val="0"/>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noWrap/>
            <w:vAlign w:val="center"/>
          </w:tcPr>
          <w:p>
            <w:pPr>
              <w:jc w:val="center"/>
              <w:rPr>
                <w:rFonts w:ascii="宋体" w:hAnsi="宋体" w:cs="宋体"/>
              </w:rPr>
            </w:pPr>
            <w:r>
              <w:rPr>
                <w:rFonts w:hint="eastAsia" w:ascii="宋体" w:hAnsi="宋体" w:cs="宋体"/>
              </w:rPr>
              <w:t>1</w:t>
            </w:r>
          </w:p>
        </w:tc>
        <w:tc>
          <w:tcPr>
            <w:tcW w:w="2475" w:type="dxa"/>
            <w:noWrap/>
            <w:vAlign w:val="center"/>
          </w:tcPr>
          <w:p>
            <w:pPr>
              <w:jc w:val="center"/>
              <w:rPr>
                <w:rFonts w:ascii="宋体" w:hAnsi="宋体" w:cs="宋体"/>
                <w:color w:val="000000"/>
                <w:sz w:val="21"/>
              </w:rPr>
            </w:pPr>
            <w:r>
              <w:rPr>
                <w:rFonts w:hint="eastAsia" w:ascii="宋体" w:hAnsi="宋体" w:cs="宋体"/>
                <w:color w:val="000000"/>
                <w:sz w:val="21"/>
              </w:rPr>
              <w:t>解析医保电子凭证二维码</w:t>
            </w:r>
          </w:p>
        </w:tc>
        <w:tc>
          <w:tcPr>
            <w:tcW w:w="5743" w:type="dxa"/>
            <w:noWrap/>
            <w:vAlign w:val="center"/>
          </w:tcPr>
          <w:p>
            <w:pPr>
              <w:jc w:val="left"/>
              <w:rPr>
                <w:rFonts w:ascii="宋体" w:hAnsi="宋体" w:cs="宋体"/>
                <w:sz w:val="21"/>
                <w:szCs w:val="22"/>
              </w:rPr>
            </w:pPr>
            <w:r>
              <w:rPr>
                <w:rFonts w:ascii="宋体" w:hAnsi="宋体" w:cs="宋体"/>
                <w:color w:val="000000"/>
                <w:sz w:val="20"/>
                <w:szCs w:val="20"/>
              </w:rPr>
              <w:t>用户展示医保电子凭证二维码，定点医药机构使用扫码设备扫描用户展示的二维码，通 过国家医保电子凭证动态库解析该二维码后获取用户基本信息等。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00" w:type="dxa"/>
            <w:noWrap/>
            <w:vAlign w:val="center"/>
          </w:tcPr>
          <w:p>
            <w:pPr>
              <w:jc w:val="center"/>
              <w:rPr>
                <w:rFonts w:ascii="宋体" w:hAnsi="宋体" w:cs="宋体"/>
              </w:rPr>
            </w:pPr>
            <w:r>
              <w:rPr>
                <w:rFonts w:hint="eastAsia" w:ascii="宋体" w:hAnsi="宋体" w:cs="宋体"/>
              </w:rPr>
              <w:t>2</w:t>
            </w:r>
          </w:p>
        </w:tc>
        <w:tc>
          <w:tcPr>
            <w:tcW w:w="2475" w:type="dxa"/>
            <w:noWrap/>
            <w:vAlign w:val="center"/>
          </w:tcPr>
          <w:p>
            <w:pPr>
              <w:jc w:val="center"/>
              <w:rPr>
                <w:rFonts w:ascii="宋体" w:hAnsi="宋体" w:cs="宋体"/>
                <w:color w:val="000000"/>
                <w:sz w:val="21"/>
              </w:rPr>
            </w:pPr>
            <w:r>
              <w:rPr>
                <w:rFonts w:hint="eastAsia" w:ascii="宋体" w:hAnsi="宋体" w:cs="宋体"/>
                <w:color w:val="000000"/>
                <w:sz w:val="21"/>
              </w:rPr>
              <w:t>费用明细上传</w:t>
            </w:r>
          </w:p>
        </w:tc>
        <w:tc>
          <w:tcPr>
            <w:tcW w:w="5743" w:type="dxa"/>
            <w:noWrap/>
            <w:vAlign w:val="center"/>
          </w:tcPr>
          <w:p>
            <w:pPr>
              <w:jc w:val="left"/>
              <w:rPr>
                <w:rFonts w:ascii="宋体" w:hAnsi="宋体" w:cs="宋体"/>
                <w:sz w:val="21"/>
                <w:szCs w:val="22"/>
              </w:rPr>
            </w:pPr>
            <w:r>
              <w:rPr>
                <w:rFonts w:ascii="宋体" w:hAnsi="宋体" w:cs="宋体"/>
                <w:color w:val="000000"/>
                <w:sz w:val="20"/>
                <w:szCs w:val="20"/>
              </w:rPr>
              <w:t>定点医药机构向地方移动支付中心发起上传费用明细交易，由地方移动支付中心向地方 医保核心系统发起验证后完成[2204]、[2301]、[6201]接口业务交互。定点医药机构需要修 改处方时，需要先撤销上传，修改完成之后重新上传。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pPr>
              <w:jc w:val="center"/>
              <w:rPr>
                <w:rFonts w:ascii="宋体" w:hAnsi="宋体" w:cs="宋体"/>
              </w:rPr>
            </w:pPr>
            <w:r>
              <w:rPr>
                <w:rFonts w:hint="eastAsia" w:ascii="宋体" w:hAnsi="宋体" w:cs="宋体"/>
              </w:rPr>
              <w:t>3</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支付下单</w:t>
            </w:r>
          </w:p>
        </w:tc>
        <w:tc>
          <w:tcPr>
            <w:tcW w:w="5743" w:type="dxa"/>
            <w:vAlign w:val="center"/>
          </w:tcPr>
          <w:p>
            <w:pPr>
              <w:jc w:val="left"/>
              <w:rPr>
                <w:rFonts w:ascii="宋体" w:hAnsi="宋体" w:cs="宋体"/>
                <w:sz w:val="21"/>
                <w:szCs w:val="22"/>
              </w:rPr>
            </w:pPr>
            <w:r>
              <w:rPr>
                <w:rFonts w:ascii="宋体" w:hAnsi="宋体" w:cs="宋体"/>
                <w:color w:val="000000"/>
                <w:sz w:val="20"/>
                <w:szCs w:val="20"/>
              </w:rPr>
              <w:t>无收银台模式下，定点医药机构向地方移动支付中心发起医保移动支付下单请求，地方 移动支付中心进行移动支付权限核验后，返回支付下单结果信息。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900" w:type="dxa"/>
            <w:vAlign w:val="center"/>
          </w:tcPr>
          <w:p>
            <w:pPr>
              <w:jc w:val="center"/>
              <w:rPr>
                <w:rFonts w:ascii="宋体" w:hAnsi="宋体" w:cs="宋体"/>
              </w:rPr>
            </w:pPr>
            <w:r>
              <w:rPr>
                <w:rFonts w:hint="eastAsia" w:ascii="宋体" w:hAnsi="宋体" w:cs="宋体"/>
              </w:rPr>
              <w:t>4</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医保退费</w:t>
            </w:r>
          </w:p>
        </w:tc>
        <w:tc>
          <w:tcPr>
            <w:tcW w:w="5743" w:type="dxa"/>
            <w:vAlign w:val="center"/>
          </w:tcPr>
          <w:p>
            <w:pPr>
              <w:jc w:val="left"/>
              <w:rPr>
                <w:rFonts w:ascii="宋体" w:hAnsi="宋体" w:cs="宋体"/>
                <w:sz w:val="21"/>
                <w:szCs w:val="22"/>
              </w:rPr>
            </w:pPr>
            <w:r>
              <w:rPr>
                <w:rFonts w:ascii="宋体" w:hAnsi="宋体" w:cs="宋体"/>
                <w:color w:val="000000"/>
                <w:sz w:val="20"/>
                <w:szCs w:val="20"/>
              </w:rPr>
              <w:t>定点医药机构对已经完成移动支付交易的医保订单，发起退费交易，医保订单交易原路 返还参保人医保账户或现金支付账户。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5</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医保订单信息同步</w:t>
            </w:r>
          </w:p>
        </w:tc>
        <w:tc>
          <w:tcPr>
            <w:tcW w:w="5743" w:type="dxa"/>
            <w:vAlign w:val="center"/>
          </w:tcPr>
          <w:p>
            <w:pPr>
              <w:jc w:val="left"/>
              <w:rPr>
                <w:rFonts w:ascii="宋体" w:hAnsi="宋体" w:cs="宋体"/>
                <w:sz w:val="21"/>
                <w:szCs w:val="22"/>
              </w:rPr>
            </w:pPr>
            <w:r>
              <w:rPr>
                <w:rFonts w:ascii="宋体" w:hAnsi="宋体" w:cs="宋体"/>
                <w:color w:val="000000"/>
                <w:sz w:val="20"/>
                <w:szCs w:val="20"/>
              </w:rPr>
              <w:t>定点医药机构向地方移动支付中心发起医保移动支付下单请求，地方移动支付中心进行 移动支付权限核验后返回医保收银台地址并向参保人展示医保订单信息，参保人确认继续支 付后，通过医保订单信息同步接口返回医保下单结果信息。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6</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银行卡支付下单</w:t>
            </w:r>
          </w:p>
        </w:tc>
        <w:tc>
          <w:tcPr>
            <w:tcW w:w="5743" w:type="dxa"/>
            <w:vAlign w:val="center"/>
          </w:tcPr>
          <w:p>
            <w:pPr>
              <w:jc w:val="left"/>
              <w:rPr>
                <w:rFonts w:ascii="宋体" w:hAnsi="宋体" w:cs="宋体"/>
                <w:sz w:val="21"/>
                <w:szCs w:val="22"/>
              </w:rPr>
            </w:pPr>
            <w:r>
              <w:rPr>
                <w:rFonts w:ascii="宋体" w:hAnsi="宋体" w:cs="宋体"/>
                <w:color w:val="000000"/>
                <w:sz w:val="20"/>
                <w:szCs w:val="20"/>
              </w:rPr>
              <w:t>无收银台模式下，定点医药机构实现银行卡混合支付效果，可向地方移动支付中心发起 银行卡混合支付下单请求，地方移动支付中心进行移动支付权限核验后，返回支付下单结果 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7</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医保订单结算结果查询</w:t>
            </w:r>
          </w:p>
        </w:tc>
        <w:tc>
          <w:tcPr>
            <w:tcW w:w="5743" w:type="dxa"/>
            <w:vAlign w:val="center"/>
          </w:tcPr>
          <w:p>
            <w:pPr>
              <w:jc w:val="left"/>
              <w:rPr>
                <w:rFonts w:ascii="宋体" w:hAnsi="宋体" w:cs="宋体"/>
                <w:sz w:val="21"/>
                <w:szCs w:val="22"/>
              </w:rPr>
            </w:pPr>
            <w:r>
              <w:rPr>
                <w:rFonts w:ascii="宋体" w:hAnsi="宋体" w:cs="宋体"/>
                <w:color w:val="000000"/>
                <w:sz w:val="20"/>
                <w:szCs w:val="20"/>
              </w:rPr>
              <w:t>定点医药机构向地方移动支付中心发起医保订单结算结果查询，返回统筹基金支付、个 人账户支付、现金支付等结算信息。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900" w:type="dxa"/>
            <w:vAlign w:val="center"/>
          </w:tcPr>
          <w:p>
            <w:pPr>
              <w:jc w:val="center"/>
              <w:rPr>
                <w:rFonts w:ascii="宋体" w:hAnsi="宋体" w:cs="宋体"/>
              </w:rPr>
            </w:pPr>
            <w:r>
              <w:rPr>
                <w:rFonts w:hint="eastAsia" w:ascii="宋体" w:hAnsi="宋体" w:cs="宋体"/>
              </w:rPr>
              <w:t>8</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医保结算结果通知</w:t>
            </w:r>
          </w:p>
        </w:tc>
        <w:tc>
          <w:tcPr>
            <w:tcW w:w="5743" w:type="dxa"/>
            <w:vAlign w:val="center"/>
          </w:tcPr>
          <w:p>
            <w:pPr>
              <w:jc w:val="left"/>
              <w:rPr>
                <w:rFonts w:ascii="宋体" w:hAnsi="宋体" w:cs="宋体"/>
                <w:sz w:val="21"/>
                <w:szCs w:val="22"/>
              </w:rPr>
            </w:pPr>
            <w:r>
              <w:rPr>
                <w:rFonts w:ascii="宋体" w:hAnsi="宋体" w:cs="宋体"/>
                <w:color w:val="000000"/>
                <w:sz w:val="20"/>
                <w:szCs w:val="20"/>
              </w:rPr>
              <w:t>医保结算成功之后，调用方主动向接口提供方发起结算结果通知，接口提供方把医保结 算结果数据回写自己系统及完成自己系统内的结算确认，成功之后返回结算成功标识或结算 失败标识。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00" w:type="dxa"/>
            <w:vAlign w:val="center"/>
          </w:tcPr>
          <w:p>
            <w:pPr>
              <w:jc w:val="center"/>
              <w:rPr>
                <w:rFonts w:ascii="宋体" w:hAnsi="宋体" w:cs="宋体"/>
              </w:rPr>
            </w:pPr>
            <w:r>
              <w:rPr>
                <w:rFonts w:hint="eastAsia" w:ascii="宋体" w:hAnsi="宋体" w:cs="宋体"/>
              </w:rPr>
              <w:t>9</w:t>
            </w:r>
          </w:p>
        </w:tc>
        <w:tc>
          <w:tcPr>
            <w:tcW w:w="2475" w:type="dxa"/>
            <w:vAlign w:val="center"/>
          </w:tcPr>
          <w:p>
            <w:pPr>
              <w:jc w:val="center"/>
              <w:rPr>
                <w:rFonts w:ascii="宋体" w:hAnsi="宋体" w:cs="宋体"/>
                <w:color w:val="000000"/>
                <w:sz w:val="21"/>
              </w:rPr>
            </w:pPr>
            <w:r>
              <w:rPr>
                <w:rFonts w:hint="eastAsia" w:ascii="宋体" w:hAnsi="宋体" w:cs="宋体"/>
                <w:color w:val="000000"/>
                <w:sz w:val="21"/>
              </w:rPr>
              <w:t>费用明细上传撤销</w:t>
            </w:r>
          </w:p>
        </w:tc>
        <w:tc>
          <w:tcPr>
            <w:tcW w:w="5743" w:type="dxa"/>
            <w:vAlign w:val="center"/>
          </w:tcPr>
          <w:p>
            <w:pPr>
              <w:jc w:val="left"/>
              <w:rPr>
                <w:rFonts w:ascii="宋体" w:hAnsi="宋体" w:cs="宋体"/>
                <w:sz w:val="21"/>
                <w:szCs w:val="22"/>
              </w:rPr>
            </w:pPr>
            <w:r>
              <w:rPr>
                <w:rFonts w:ascii="宋体" w:hAnsi="宋体" w:cs="宋体"/>
                <w:color w:val="000000"/>
                <w:sz w:val="20"/>
                <w:szCs w:val="20"/>
              </w:rPr>
              <w:t>定点医药机构由于处方变更等情况，向地方移动支付中心发起费用明细上传撤销交易， 由地方移动支付中心向地方医保核心系统发起验证后完成[2205]、[2302]接口业务交互。适 用于已经上传但未结算确认的费用明细。</w:t>
            </w:r>
          </w:p>
        </w:tc>
      </w:tr>
    </w:tbl>
    <w:p>
      <w:pPr>
        <w:ind w:firstLine="234"/>
        <w:jc w:val="left"/>
      </w:pPr>
    </w:p>
    <w:p>
      <w:pPr>
        <w:pStyle w:val="4"/>
        <w:pageBreakBefore w:val="0"/>
      </w:pPr>
      <w:r>
        <w:rPr>
          <w:rFonts w:hint="eastAsia"/>
        </w:rPr>
        <w:t>3</w:t>
      </w:r>
      <w:r>
        <w:rPr>
          <w:rFonts w:hint="eastAsia"/>
          <w:szCs w:val="24"/>
        </w:rPr>
        <w:t>自助机功能改造</w:t>
      </w:r>
    </w:p>
    <w:p>
      <w:pPr>
        <w:pStyle w:val="5"/>
      </w:pPr>
      <w:r>
        <w:rPr>
          <w:rFonts w:hint="eastAsia"/>
        </w:rPr>
        <w:t>3.1接口清单及功能</w:t>
      </w:r>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75"/>
        <w:gridCol w:w="5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00" w:type="dxa"/>
            <w:noWrap/>
            <w:vAlign w:val="center"/>
          </w:tcPr>
          <w:p>
            <w:pPr>
              <w:jc w:val="center"/>
              <w:rPr>
                <w:rFonts w:ascii="宋体" w:hAnsi="宋体" w:cs="宋体"/>
                <w:b/>
                <w:bCs/>
                <w:color w:val="262626"/>
              </w:rPr>
            </w:pPr>
            <w:r>
              <w:rPr>
                <w:rFonts w:hint="eastAsia" w:ascii="宋体" w:hAnsi="宋体" w:cs="宋体"/>
                <w:b/>
                <w:bCs/>
                <w:color w:val="262626"/>
              </w:rPr>
              <w:t>序号</w:t>
            </w:r>
          </w:p>
        </w:tc>
        <w:tc>
          <w:tcPr>
            <w:tcW w:w="2475" w:type="dxa"/>
            <w:noWrap/>
            <w:vAlign w:val="center"/>
          </w:tcPr>
          <w:p>
            <w:pPr>
              <w:jc w:val="center"/>
              <w:rPr>
                <w:rFonts w:ascii="宋体" w:hAnsi="宋体" w:cs="宋体"/>
                <w:b/>
                <w:bCs/>
                <w:color w:val="262626"/>
              </w:rPr>
            </w:pPr>
            <w:r>
              <w:rPr>
                <w:rFonts w:hint="eastAsia" w:ascii="宋体" w:hAnsi="宋体" w:cs="宋体"/>
                <w:b/>
                <w:bCs/>
                <w:color w:val="262626"/>
              </w:rPr>
              <w:t>接口清单</w:t>
            </w:r>
          </w:p>
        </w:tc>
        <w:tc>
          <w:tcPr>
            <w:tcW w:w="5743" w:type="dxa"/>
            <w:noWrap/>
            <w:vAlign w:val="center"/>
          </w:tcPr>
          <w:p>
            <w:pPr>
              <w:jc w:val="center"/>
              <w:rPr>
                <w:rFonts w:ascii="宋体" w:hAnsi="宋体" w:cs="宋体"/>
                <w:b/>
                <w:bCs/>
                <w:color w:val="262626"/>
              </w:rPr>
            </w:pPr>
            <w:r>
              <w:rPr>
                <w:rFonts w:hint="eastAsia" w:ascii="宋体" w:hAnsi="宋体" w:cs="宋体"/>
                <w:b/>
                <w:bCs/>
                <w:kern w:val="0"/>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00" w:type="dxa"/>
            <w:vMerge w:val="restart"/>
            <w:noWrap/>
            <w:vAlign w:val="center"/>
          </w:tcPr>
          <w:p>
            <w:pPr>
              <w:jc w:val="center"/>
              <w:rPr>
                <w:rFonts w:ascii="宋体" w:hAnsi="宋体" w:cs="宋体"/>
              </w:rPr>
            </w:pPr>
            <w:r>
              <w:rPr>
                <w:rFonts w:hint="eastAsia" w:ascii="宋体" w:hAnsi="宋体" w:cs="宋体"/>
              </w:rPr>
              <w:t>1</w:t>
            </w:r>
          </w:p>
        </w:tc>
        <w:tc>
          <w:tcPr>
            <w:tcW w:w="2475" w:type="dxa"/>
            <w:vMerge w:val="restart"/>
            <w:noWrap/>
            <w:vAlign w:val="center"/>
          </w:tcPr>
          <w:p>
            <w:pPr>
              <w:jc w:val="center"/>
              <w:rPr>
                <w:rFonts w:ascii="宋体" w:hAnsi="宋体" w:cs="宋体"/>
                <w:color w:val="000000"/>
                <w:sz w:val="21"/>
              </w:rPr>
            </w:pPr>
            <w:r>
              <w:rPr>
                <w:rFonts w:hint="eastAsia" w:ascii="宋体" w:hAnsi="宋体" w:cs="宋体"/>
                <w:color w:val="000000"/>
                <w:sz w:val="21"/>
              </w:rPr>
              <w:t>电子健康码</w:t>
            </w:r>
          </w:p>
        </w:tc>
        <w:tc>
          <w:tcPr>
            <w:tcW w:w="5743" w:type="dxa"/>
            <w:noWrap/>
            <w:vAlign w:val="center"/>
          </w:tcPr>
          <w:p>
            <w:pPr>
              <w:jc w:val="left"/>
              <w:rPr>
                <w:rFonts w:ascii="宋体" w:hAnsi="宋体" w:cs="宋体"/>
                <w:sz w:val="21"/>
                <w:szCs w:val="22"/>
              </w:rPr>
            </w:pPr>
            <w:r>
              <w:rPr>
                <w:rFonts w:hint="eastAsia" w:ascii="宋体" w:hAnsi="宋体" w:cs="宋体"/>
                <w:color w:val="000000"/>
                <w:sz w:val="20"/>
                <w:szCs w:val="20"/>
              </w:rPr>
              <w:t>1.电子健康码发码：对接his接口实现电子健康码注册发码</w:t>
            </w:r>
            <w:r>
              <w:rPr>
                <w:rFonts w:ascii="宋体" w:hAnsi="宋体" w:cs="宋体"/>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2.电子健康码登录：对接his接口实现电子健康码登录，获取患者证件信息实现患者在his系统建档，登录。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900" w:type="dxa"/>
            <w:vMerge w:val="restart"/>
            <w:noWrap/>
            <w:vAlign w:val="center"/>
          </w:tcPr>
          <w:p>
            <w:pPr>
              <w:jc w:val="center"/>
              <w:rPr>
                <w:rFonts w:ascii="宋体" w:hAnsi="宋体" w:cs="宋体"/>
              </w:rPr>
            </w:pPr>
            <w:r>
              <w:rPr>
                <w:rFonts w:hint="eastAsia" w:ascii="宋体" w:hAnsi="宋体" w:cs="宋体"/>
              </w:rPr>
              <w:t>2</w:t>
            </w:r>
          </w:p>
        </w:tc>
        <w:tc>
          <w:tcPr>
            <w:tcW w:w="2475" w:type="dxa"/>
            <w:vMerge w:val="restart"/>
            <w:noWrap/>
            <w:vAlign w:val="center"/>
          </w:tcPr>
          <w:p>
            <w:pPr>
              <w:jc w:val="center"/>
              <w:rPr>
                <w:rFonts w:ascii="宋体" w:hAnsi="宋体" w:cs="宋体"/>
                <w:color w:val="000000"/>
                <w:sz w:val="21"/>
              </w:rPr>
            </w:pPr>
            <w:r>
              <w:rPr>
                <w:rFonts w:hint="eastAsia" w:ascii="宋体" w:hAnsi="宋体" w:cs="宋体"/>
                <w:color w:val="000000"/>
                <w:sz w:val="21"/>
              </w:rPr>
              <w:t>医保电子凭证</w:t>
            </w:r>
            <w:r>
              <w:rPr>
                <w:rFonts w:hint="eastAsia" w:ascii="宋体" w:hAnsi="宋体" w:cs="宋体"/>
                <w:color w:val="000000"/>
                <w:sz w:val="20"/>
                <w:szCs w:val="20"/>
              </w:rPr>
              <w:t>结算</w:t>
            </w:r>
          </w:p>
        </w:tc>
        <w:tc>
          <w:tcPr>
            <w:tcW w:w="5743" w:type="dxa"/>
            <w:noWrap/>
            <w:vAlign w:val="center"/>
          </w:tcPr>
          <w:p>
            <w:pPr>
              <w:jc w:val="left"/>
              <w:rPr>
                <w:rFonts w:ascii="宋体" w:hAnsi="宋体" w:cs="宋体"/>
                <w:sz w:val="21"/>
                <w:szCs w:val="22"/>
              </w:rPr>
            </w:pPr>
            <w:r>
              <w:rPr>
                <w:rFonts w:ascii="宋体" w:hAnsi="宋体" w:cs="宋体"/>
                <w:color w:val="000000"/>
                <w:sz w:val="20"/>
                <w:szCs w:val="20"/>
              </w:rPr>
              <w:t>定点医药机构向地方移动支付中心发起上传费用明细交易，由地方移动支付中心向地方医保核心系统发起验证后完成[2204]、[2301]、[6201]接口业务交互。定点医药机构需要修 改处方时，需要先撤销上传，修改完成之后重新上传。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2.医保电子凭证统筹结算：对接his实现医保电子凭证统筹结算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tcBorders>
              <w:bottom w:val="single" w:color="auto" w:sz="4" w:space="0"/>
            </w:tcBorders>
            <w:noWrap/>
            <w:vAlign w:val="center"/>
          </w:tcPr>
          <w:p>
            <w:pPr>
              <w:jc w:val="left"/>
              <w:rPr>
                <w:rFonts w:ascii="宋体" w:hAnsi="宋体" w:cs="宋体"/>
                <w:color w:val="000000"/>
                <w:sz w:val="20"/>
                <w:szCs w:val="20"/>
              </w:rPr>
            </w:pPr>
            <w:r>
              <w:rPr>
                <w:rFonts w:hint="eastAsia" w:ascii="宋体" w:hAnsi="宋体" w:cs="宋体"/>
                <w:color w:val="000000"/>
                <w:sz w:val="20"/>
                <w:szCs w:val="20"/>
              </w:rPr>
              <w:t>3.医保电子凭证个账结算：对接广东银联实现医保电子凭证个账结算。</w:t>
            </w:r>
          </w:p>
        </w:tc>
      </w:tr>
    </w:tbl>
    <w:p/>
    <w:p>
      <w:pPr>
        <w:pStyle w:val="4"/>
        <w:pageBreakBefore w:val="0"/>
      </w:pPr>
      <w:r>
        <w:rPr>
          <w:rFonts w:hint="eastAsia"/>
        </w:rPr>
        <w:t>4</w:t>
      </w:r>
      <w:r>
        <w:rPr>
          <w:rFonts w:hint="eastAsia"/>
          <w:lang w:eastAsia="zh-CN"/>
        </w:rPr>
        <w:t>、</w:t>
      </w:r>
      <w:r>
        <w:rPr>
          <w:rFonts w:hint="eastAsia"/>
          <w:szCs w:val="24"/>
        </w:rPr>
        <w:t>微信支付宝小程序功能改造</w:t>
      </w:r>
    </w:p>
    <w:p>
      <w:pPr>
        <w:pStyle w:val="5"/>
      </w:pPr>
      <w:r>
        <w:rPr>
          <w:rFonts w:hint="eastAsia"/>
        </w:rPr>
        <w:t>4.1接口清单及功能</w:t>
      </w:r>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75"/>
        <w:gridCol w:w="5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00" w:type="dxa"/>
            <w:noWrap/>
            <w:vAlign w:val="center"/>
          </w:tcPr>
          <w:p>
            <w:pPr>
              <w:jc w:val="center"/>
              <w:rPr>
                <w:rFonts w:ascii="宋体" w:hAnsi="宋体" w:cs="宋体"/>
                <w:b/>
                <w:bCs/>
                <w:color w:val="262626"/>
              </w:rPr>
            </w:pPr>
            <w:r>
              <w:rPr>
                <w:rFonts w:hint="eastAsia" w:ascii="宋体" w:hAnsi="宋体" w:cs="宋体"/>
                <w:b/>
                <w:bCs/>
                <w:color w:val="262626"/>
              </w:rPr>
              <w:t>序号</w:t>
            </w:r>
          </w:p>
        </w:tc>
        <w:tc>
          <w:tcPr>
            <w:tcW w:w="2475" w:type="dxa"/>
            <w:noWrap/>
            <w:vAlign w:val="center"/>
          </w:tcPr>
          <w:p>
            <w:pPr>
              <w:jc w:val="center"/>
              <w:rPr>
                <w:rFonts w:ascii="宋体" w:hAnsi="宋体" w:cs="宋体"/>
                <w:b/>
                <w:bCs/>
                <w:color w:val="262626"/>
              </w:rPr>
            </w:pPr>
            <w:r>
              <w:rPr>
                <w:rFonts w:hint="eastAsia" w:ascii="宋体" w:hAnsi="宋体" w:cs="宋体"/>
                <w:b/>
                <w:bCs/>
                <w:color w:val="262626"/>
              </w:rPr>
              <w:t>接口清单</w:t>
            </w:r>
          </w:p>
        </w:tc>
        <w:tc>
          <w:tcPr>
            <w:tcW w:w="5743" w:type="dxa"/>
            <w:noWrap/>
            <w:vAlign w:val="center"/>
          </w:tcPr>
          <w:p>
            <w:pPr>
              <w:jc w:val="center"/>
              <w:rPr>
                <w:rFonts w:ascii="宋体" w:hAnsi="宋体" w:cs="宋体"/>
                <w:b/>
                <w:bCs/>
                <w:color w:val="262626"/>
              </w:rPr>
            </w:pPr>
            <w:r>
              <w:rPr>
                <w:rFonts w:hint="eastAsia" w:ascii="宋体" w:hAnsi="宋体" w:cs="宋体"/>
                <w:b/>
                <w:bCs/>
                <w:kern w:val="0"/>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900" w:type="dxa"/>
            <w:noWrap/>
            <w:vAlign w:val="center"/>
          </w:tcPr>
          <w:p>
            <w:pPr>
              <w:jc w:val="center"/>
              <w:rPr>
                <w:rFonts w:ascii="宋体" w:hAnsi="宋体" w:cs="宋体"/>
              </w:rPr>
            </w:pPr>
            <w:r>
              <w:rPr>
                <w:rFonts w:hint="eastAsia" w:ascii="宋体" w:hAnsi="宋体" w:cs="宋体"/>
              </w:rPr>
              <w:t>1</w:t>
            </w:r>
          </w:p>
        </w:tc>
        <w:tc>
          <w:tcPr>
            <w:tcW w:w="2475" w:type="dxa"/>
            <w:noWrap/>
            <w:vAlign w:val="center"/>
          </w:tcPr>
          <w:p>
            <w:pPr>
              <w:jc w:val="center"/>
              <w:rPr>
                <w:rFonts w:ascii="宋体" w:hAnsi="宋体" w:cs="宋体"/>
                <w:color w:val="000000"/>
                <w:sz w:val="21"/>
              </w:rPr>
            </w:pPr>
            <w:r>
              <w:rPr>
                <w:rFonts w:hint="eastAsia" w:ascii="宋体" w:hAnsi="宋体" w:cs="宋体"/>
                <w:color w:val="000000"/>
                <w:sz w:val="21"/>
              </w:rPr>
              <w:t>电子健康码</w:t>
            </w:r>
          </w:p>
          <w:p>
            <w:pPr>
              <w:pStyle w:val="2"/>
              <w:jc w:val="center"/>
            </w:pPr>
            <w:r>
              <w:rPr>
                <w:rFonts w:hint="eastAsia" w:ascii="宋体" w:hAnsi="宋体" w:cs="宋体"/>
                <w:color w:val="000000"/>
                <w:sz w:val="21"/>
              </w:rPr>
              <w:t>（微信、支付宝）</w:t>
            </w:r>
          </w:p>
        </w:tc>
        <w:tc>
          <w:tcPr>
            <w:tcW w:w="5743" w:type="dxa"/>
            <w:noWrap/>
            <w:vAlign w:val="center"/>
          </w:tcPr>
          <w:p>
            <w:pPr>
              <w:jc w:val="left"/>
              <w:rPr>
                <w:rFonts w:ascii="宋体" w:hAnsi="宋体" w:cs="宋体"/>
                <w:sz w:val="21"/>
                <w:szCs w:val="22"/>
              </w:rPr>
            </w:pPr>
            <w:r>
              <w:rPr>
                <w:rFonts w:hint="eastAsia" w:ascii="宋体" w:hAnsi="宋体" w:cs="宋体"/>
                <w:color w:val="000000"/>
                <w:sz w:val="20"/>
                <w:szCs w:val="20"/>
              </w:rPr>
              <w:t>通过调用省健康码平台的电子健康码注册、电子健康码个人信息修改、电子健康码个人信息查询、查询账户是否注册等相关接口完成电子健康码的申领及其二维码展现；个人信息绑卡功能改造；个人信息建档功能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900" w:type="dxa"/>
            <w:vMerge w:val="restart"/>
            <w:noWrap/>
            <w:vAlign w:val="center"/>
          </w:tcPr>
          <w:p>
            <w:pPr>
              <w:jc w:val="center"/>
              <w:rPr>
                <w:rFonts w:ascii="宋体" w:hAnsi="宋体" w:cs="宋体"/>
              </w:rPr>
            </w:pPr>
            <w:r>
              <w:rPr>
                <w:rFonts w:hint="eastAsia" w:ascii="宋体" w:hAnsi="宋体" w:cs="宋体"/>
              </w:rPr>
              <w:t>2</w:t>
            </w:r>
          </w:p>
        </w:tc>
        <w:tc>
          <w:tcPr>
            <w:tcW w:w="2475" w:type="dxa"/>
            <w:vMerge w:val="restart"/>
            <w:noWrap/>
            <w:vAlign w:val="center"/>
          </w:tcPr>
          <w:p>
            <w:pPr>
              <w:jc w:val="center"/>
              <w:rPr>
                <w:rFonts w:ascii="宋体" w:hAnsi="宋体" w:cs="宋体"/>
                <w:color w:val="000000"/>
                <w:sz w:val="21"/>
              </w:rPr>
            </w:pPr>
            <w:r>
              <w:rPr>
                <w:rFonts w:hint="eastAsia" w:ascii="宋体" w:hAnsi="宋体" w:cs="宋体"/>
                <w:color w:val="000000"/>
                <w:sz w:val="21"/>
              </w:rPr>
              <w:t>移动医保支付</w:t>
            </w:r>
          </w:p>
          <w:p>
            <w:pPr>
              <w:pStyle w:val="2"/>
              <w:jc w:val="center"/>
            </w:pPr>
            <w:r>
              <w:rPr>
                <w:rFonts w:hint="eastAsia" w:ascii="宋体" w:hAnsi="宋体" w:cs="宋体"/>
                <w:color w:val="000000"/>
                <w:sz w:val="21"/>
              </w:rPr>
              <w:t>（微信、支付宝）</w:t>
            </w:r>
          </w:p>
        </w:tc>
        <w:tc>
          <w:tcPr>
            <w:tcW w:w="5743" w:type="dxa"/>
            <w:noWrap/>
            <w:vAlign w:val="center"/>
          </w:tcPr>
          <w:p>
            <w:pPr>
              <w:jc w:val="left"/>
              <w:rPr>
                <w:rFonts w:ascii="宋体" w:hAnsi="宋体" w:cs="宋体"/>
                <w:sz w:val="21"/>
                <w:szCs w:val="22"/>
              </w:rPr>
            </w:pPr>
            <w:r>
              <w:rPr>
                <w:rFonts w:hint="eastAsia" w:ascii="宋体" w:hAnsi="宋体" w:cs="宋体"/>
                <w:color w:val="000000"/>
                <w:sz w:val="20"/>
                <w:szCs w:val="20"/>
              </w:rPr>
              <w:t>1、微信、支付宝API接口调用环境搭建，包括授权访问令牌、人员信息、医保线上业务获取身份核验信息、支付接口、交易查询接口、交易退款接口、退款查询接口、账单下载等相关接口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2、结合对接his的接口，完成微信、支付宝小程序功能改造，实现挂号、缴费的线上统筹和个账的医保支付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3、优化自动对账工具，支持统筹金额、个账的金额的对账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00" w:type="dxa"/>
            <w:noWrap/>
            <w:vAlign w:val="center"/>
          </w:tcPr>
          <w:p>
            <w:pPr>
              <w:jc w:val="center"/>
              <w:rPr>
                <w:rFonts w:ascii="宋体" w:hAnsi="宋体" w:cs="宋体"/>
              </w:rPr>
            </w:pPr>
            <w:r>
              <w:rPr>
                <w:rFonts w:hint="eastAsia" w:ascii="宋体" w:hAnsi="宋体" w:cs="宋体"/>
              </w:rPr>
              <w:t>3</w:t>
            </w:r>
          </w:p>
        </w:tc>
        <w:tc>
          <w:tcPr>
            <w:tcW w:w="2475" w:type="dxa"/>
            <w:noWrap/>
            <w:vAlign w:val="center"/>
          </w:tcPr>
          <w:p>
            <w:pPr>
              <w:jc w:val="center"/>
              <w:rPr>
                <w:rFonts w:ascii="宋体" w:hAnsi="宋体" w:cs="宋体"/>
                <w:color w:val="000000"/>
                <w:sz w:val="21"/>
              </w:rPr>
            </w:pPr>
            <w:r>
              <w:rPr>
                <w:rFonts w:hint="eastAsia" w:ascii="宋体" w:hAnsi="宋体" w:cs="宋体"/>
                <w:color w:val="000000"/>
                <w:sz w:val="21"/>
              </w:rPr>
              <w:t>处方扫码支付功能</w:t>
            </w:r>
          </w:p>
          <w:p>
            <w:pPr>
              <w:jc w:val="center"/>
              <w:rPr>
                <w:rFonts w:ascii="宋体" w:hAnsi="宋体" w:cs="宋体"/>
                <w:color w:val="000000"/>
                <w:sz w:val="21"/>
              </w:rPr>
            </w:pPr>
            <w:r>
              <w:rPr>
                <w:rFonts w:hint="eastAsia" w:ascii="宋体" w:hAnsi="宋体" w:cs="宋体"/>
                <w:color w:val="000000"/>
                <w:sz w:val="21"/>
              </w:rPr>
              <w:t>（微信、支付宝）</w:t>
            </w: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通过与His对接，使用微信、支付宝扫码（处方单打印的二维码）后能自动进入处方详情页面并能完成处方费用的支付。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900" w:type="dxa"/>
            <w:vMerge w:val="restart"/>
            <w:noWrap/>
            <w:vAlign w:val="center"/>
          </w:tcPr>
          <w:p>
            <w:pPr>
              <w:jc w:val="center"/>
              <w:rPr>
                <w:rFonts w:ascii="宋体" w:hAnsi="宋体" w:cs="宋体"/>
              </w:rPr>
            </w:pPr>
            <w:r>
              <w:rPr>
                <w:rFonts w:hint="eastAsia" w:ascii="宋体" w:hAnsi="宋体" w:cs="宋体"/>
              </w:rPr>
              <w:t>4</w:t>
            </w:r>
          </w:p>
        </w:tc>
        <w:tc>
          <w:tcPr>
            <w:tcW w:w="2475" w:type="dxa"/>
            <w:vMerge w:val="restart"/>
            <w:noWrap/>
            <w:vAlign w:val="center"/>
          </w:tcPr>
          <w:p>
            <w:pPr>
              <w:jc w:val="center"/>
              <w:rPr>
                <w:rFonts w:ascii="宋体" w:hAnsi="宋体" w:cs="宋体"/>
                <w:color w:val="000000"/>
                <w:sz w:val="21"/>
              </w:rPr>
            </w:pPr>
            <w:r>
              <w:rPr>
                <w:rFonts w:hint="eastAsia" w:ascii="宋体" w:hAnsi="宋体" w:cs="宋体"/>
                <w:color w:val="000000"/>
                <w:sz w:val="21"/>
              </w:rPr>
              <w:t>电子发票查询功能</w:t>
            </w:r>
          </w:p>
          <w:p>
            <w:pPr>
              <w:jc w:val="center"/>
              <w:rPr>
                <w:rFonts w:ascii="宋体" w:hAnsi="宋体" w:cs="宋体"/>
                <w:color w:val="000000"/>
                <w:sz w:val="21"/>
              </w:rPr>
            </w:pPr>
            <w:r>
              <w:rPr>
                <w:rFonts w:hint="eastAsia" w:ascii="宋体" w:hAnsi="宋体" w:cs="宋体"/>
                <w:color w:val="000000"/>
                <w:sz w:val="21"/>
              </w:rPr>
              <w:t>（微信、支付宝）</w:t>
            </w: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1、在微信、支付宝小程序上，增加查询电子发票的功能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noWrap/>
            <w:vAlign w:val="center"/>
          </w:tcPr>
          <w:p>
            <w:pPr>
              <w:jc w:val="left"/>
              <w:rPr>
                <w:rFonts w:ascii="宋体" w:hAnsi="宋体" w:cs="宋体"/>
                <w:color w:val="000000"/>
                <w:sz w:val="20"/>
                <w:szCs w:val="20"/>
              </w:rPr>
            </w:pPr>
            <w:r>
              <w:rPr>
                <w:rFonts w:hint="eastAsia" w:ascii="宋体" w:hAnsi="宋体" w:cs="宋体"/>
                <w:color w:val="000000"/>
                <w:sz w:val="20"/>
                <w:szCs w:val="20"/>
              </w:rPr>
              <w:t>2、挂号、缴费成功后，发送电子发票开具成功消息通知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900" w:type="dxa"/>
            <w:vMerge w:val="continue"/>
            <w:noWrap/>
            <w:vAlign w:val="center"/>
          </w:tcPr>
          <w:p>
            <w:pPr>
              <w:jc w:val="center"/>
              <w:rPr>
                <w:rFonts w:ascii="宋体" w:hAnsi="宋体" w:cs="宋体"/>
              </w:rPr>
            </w:pPr>
          </w:p>
        </w:tc>
        <w:tc>
          <w:tcPr>
            <w:tcW w:w="2475" w:type="dxa"/>
            <w:vMerge w:val="continue"/>
            <w:noWrap/>
            <w:vAlign w:val="center"/>
          </w:tcPr>
          <w:p>
            <w:pPr>
              <w:jc w:val="center"/>
              <w:rPr>
                <w:rFonts w:ascii="宋体" w:hAnsi="宋体" w:cs="宋体"/>
                <w:color w:val="000000"/>
                <w:sz w:val="21"/>
              </w:rPr>
            </w:pPr>
          </w:p>
        </w:tc>
        <w:tc>
          <w:tcPr>
            <w:tcW w:w="5743" w:type="dxa"/>
            <w:tcBorders>
              <w:bottom w:val="single" w:color="auto" w:sz="4" w:space="0"/>
            </w:tcBorders>
            <w:noWrap/>
            <w:vAlign w:val="center"/>
          </w:tcPr>
          <w:p>
            <w:pPr>
              <w:jc w:val="left"/>
              <w:rPr>
                <w:rFonts w:ascii="宋体" w:hAnsi="宋体" w:cs="宋体"/>
                <w:color w:val="000000"/>
                <w:sz w:val="20"/>
                <w:szCs w:val="20"/>
              </w:rPr>
            </w:pPr>
            <w:r>
              <w:rPr>
                <w:rFonts w:hint="eastAsia" w:ascii="宋体" w:hAnsi="宋体" w:cs="宋体"/>
                <w:color w:val="000000"/>
                <w:sz w:val="20"/>
                <w:szCs w:val="20"/>
              </w:rPr>
              <w:t>3、挂号记录、缴费记录增加查看电子发票跳转功能</w:t>
            </w:r>
          </w:p>
        </w:tc>
      </w:tr>
    </w:tbl>
    <w:p>
      <w:pPr>
        <w:pStyle w:val="2"/>
      </w:pPr>
    </w:p>
    <w:p>
      <w:pPr>
        <w:pStyle w:val="4"/>
        <w:pageBreakBefore w:val="0"/>
      </w:pPr>
      <w:r>
        <w:rPr>
          <w:rFonts w:hint="eastAsia"/>
        </w:rPr>
        <w:t>5</w:t>
      </w:r>
      <w:r>
        <w:rPr>
          <w:rFonts w:hint="eastAsia"/>
          <w:lang w:eastAsia="zh-CN"/>
        </w:rPr>
        <w:t>、</w:t>
      </w:r>
      <w:r>
        <w:rPr>
          <w:rFonts w:hint="eastAsia"/>
          <w:szCs w:val="24"/>
        </w:rPr>
        <w:t>硬件设备</w:t>
      </w:r>
    </w:p>
    <w:p>
      <w:pPr>
        <w:pStyle w:val="5"/>
      </w:pPr>
      <w:r>
        <w:rPr>
          <w:rFonts w:hint="eastAsia"/>
        </w:rPr>
        <w:t>5.1接口清单及功能</w:t>
      </w:r>
    </w:p>
    <w:tbl>
      <w:tblPr>
        <w:tblStyle w:val="9"/>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75"/>
        <w:gridCol w:w="5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00" w:type="dxa"/>
            <w:noWrap/>
            <w:vAlign w:val="center"/>
          </w:tcPr>
          <w:p>
            <w:pPr>
              <w:jc w:val="center"/>
              <w:rPr>
                <w:rFonts w:ascii="宋体" w:hAnsi="宋体" w:cs="宋体"/>
                <w:b/>
                <w:bCs/>
                <w:color w:val="262626"/>
              </w:rPr>
            </w:pPr>
            <w:r>
              <w:rPr>
                <w:rFonts w:hint="eastAsia" w:ascii="宋体" w:hAnsi="宋体" w:cs="宋体"/>
                <w:b/>
                <w:bCs/>
                <w:color w:val="262626"/>
              </w:rPr>
              <w:t>序号</w:t>
            </w:r>
          </w:p>
        </w:tc>
        <w:tc>
          <w:tcPr>
            <w:tcW w:w="2475" w:type="dxa"/>
            <w:noWrap/>
            <w:vAlign w:val="center"/>
          </w:tcPr>
          <w:p>
            <w:pPr>
              <w:jc w:val="center"/>
              <w:rPr>
                <w:rFonts w:ascii="宋体" w:hAnsi="宋体" w:cs="宋体"/>
                <w:b/>
                <w:bCs/>
                <w:color w:val="262626"/>
              </w:rPr>
            </w:pPr>
            <w:r>
              <w:rPr>
                <w:rFonts w:hint="eastAsia" w:ascii="宋体" w:hAnsi="宋体" w:cs="宋体"/>
                <w:b/>
                <w:bCs/>
                <w:color w:val="262626"/>
              </w:rPr>
              <w:t>接口清单</w:t>
            </w:r>
          </w:p>
        </w:tc>
        <w:tc>
          <w:tcPr>
            <w:tcW w:w="5743" w:type="dxa"/>
            <w:noWrap/>
            <w:vAlign w:val="center"/>
          </w:tcPr>
          <w:p>
            <w:pPr>
              <w:jc w:val="center"/>
              <w:rPr>
                <w:rFonts w:ascii="宋体" w:hAnsi="宋体" w:cs="宋体"/>
                <w:b/>
                <w:bCs/>
                <w:color w:val="262626"/>
              </w:rPr>
            </w:pPr>
            <w:r>
              <w:rPr>
                <w:rFonts w:hint="eastAsia" w:ascii="宋体" w:hAnsi="宋体" w:cs="宋体"/>
                <w:b/>
                <w:bCs/>
                <w:kern w:val="0"/>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900" w:type="dxa"/>
            <w:noWrap/>
            <w:vAlign w:val="center"/>
          </w:tcPr>
          <w:p>
            <w:pPr>
              <w:jc w:val="center"/>
              <w:rPr>
                <w:rFonts w:ascii="宋体" w:hAnsi="宋体" w:cs="宋体"/>
              </w:rPr>
            </w:pPr>
            <w:r>
              <w:rPr>
                <w:rFonts w:hint="eastAsia" w:ascii="宋体" w:hAnsi="宋体" w:cs="宋体"/>
              </w:rPr>
              <w:t>1</w:t>
            </w:r>
          </w:p>
        </w:tc>
        <w:tc>
          <w:tcPr>
            <w:tcW w:w="2475" w:type="dxa"/>
            <w:noWrap/>
            <w:vAlign w:val="center"/>
          </w:tcPr>
          <w:p>
            <w:pPr>
              <w:jc w:val="center"/>
              <w:rPr>
                <w:rFonts w:ascii="宋体" w:hAnsi="宋体" w:cs="宋体"/>
                <w:color w:val="000000"/>
                <w:sz w:val="21"/>
              </w:rPr>
            </w:pPr>
            <w:r>
              <w:rPr>
                <w:rFonts w:hint="eastAsia" w:ascii="宋体" w:hAnsi="宋体" w:cs="宋体"/>
                <w:color w:val="000000"/>
                <w:sz w:val="21"/>
              </w:rPr>
              <w:t>条码机2台</w:t>
            </w:r>
          </w:p>
        </w:tc>
        <w:tc>
          <w:tcPr>
            <w:tcW w:w="5743" w:type="dxa"/>
            <w:noWrap/>
            <w:vAlign w:val="center"/>
          </w:tcPr>
          <w:p>
            <w:pPr>
              <w:jc w:val="left"/>
              <w:rPr>
                <w:rFonts w:ascii="宋体" w:hAnsi="宋体" w:cs="宋体"/>
                <w:sz w:val="21"/>
                <w:szCs w:val="22"/>
              </w:rPr>
            </w:pPr>
            <w:r>
              <w:rPr>
                <w:rFonts w:hint="eastAsia" w:ascii="宋体" w:hAnsi="宋体" w:cs="宋体"/>
                <w:sz w:val="21"/>
                <w:szCs w:val="22"/>
              </w:rPr>
              <w:t>热敏条码机，易撕纸，打印宽度&gt;=108mm,,换纸方便</w:t>
            </w:r>
          </w:p>
        </w:tc>
      </w:tr>
    </w:tbl>
    <w:p>
      <w:pPr>
        <w:pStyle w:val="2"/>
      </w:pPr>
    </w:p>
    <w:p>
      <w:pPr>
        <w:pStyle w:val="4"/>
        <w:pageBreakBefore w:val="0"/>
      </w:pPr>
      <w:r>
        <w:rPr>
          <w:rFonts w:hint="eastAsia"/>
        </w:rPr>
        <w:t>6</w:t>
      </w:r>
      <w:r>
        <w:rPr>
          <w:rFonts w:hint="eastAsia"/>
          <w:lang w:eastAsia="zh-CN"/>
        </w:rPr>
        <w:t>、</w:t>
      </w:r>
      <w:r>
        <w:rPr>
          <w:rFonts w:hint="eastAsia"/>
        </w:rPr>
        <w:t>软件</w:t>
      </w:r>
      <w:r>
        <w:rPr>
          <w:rFonts w:hint="eastAsia"/>
          <w:szCs w:val="24"/>
        </w:rPr>
        <w:t>维护费</w:t>
      </w:r>
    </w:p>
    <w:p>
      <w:pPr>
        <w:pStyle w:val="5"/>
        <w:ind w:firstLine="640" w:firstLineChars="200"/>
      </w:pPr>
      <w:r>
        <w:rPr>
          <w:rFonts w:hint="eastAsia"/>
        </w:rPr>
        <w:t>以上功能及接口完成验收后，质保期过后不再额外收取维护费。若后续医保政策调整，需要对接口进行较大改动的，相关费用另行商议。</w:t>
      </w:r>
    </w:p>
    <w:p>
      <w:pPr>
        <w:pStyle w:val="2"/>
      </w:pPr>
    </w:p>
    <w:p>
      <w:r>
        <w:br w:type="page"/>
      </w:r>
    </w:p>
    <w:p>
      <w:pPr>
        <w:pStyle w:val="6"/>
        <w:numPr>
          <w:ilvl w:val="0"/>
          <w:numId w:val="0"/>
        </w:numPr>
        <w:rPr>
          <w:rFonts w:hint="eastAsia" w:eastAsia="宋体"/>
          <w:color w:val="auto"/>
          <w:lang w:val="en-US" w:eastAsia="zh-CN"/>
        </w:rPr>
      </w:pPr>
      <w:r>
        <w:rPr>
          <w:rFonts w:hint="eastAsia" w:cs="Times New Roman"/>
          <w:b/>
          <w:bCs w:val="0"/>
          <w:color w:val="000000"/>
          <w:kern w:val="0"/>
          <w:sz w:val="28"/>
          <w:szCs w:val="28"/>
          <w:lang w:val="en-US" w:eastAsia="zh-CN" w:bidi="ar-SA"/>
        </w:rPr>
        <w:t>7、</w:t>
      </w:r>
      <w:r>
        <w:rPr>
          <w:rFonts w:hint="eastAsia" w:ascii="Courier New" w:hAnsi="Courier New" w:eastAsia="微软雅黑" w:cs="Times New Roman"/>
          <w:b/>
          <w:bCs w:val="0"/>
          <w:color w:val="000000"/>
          <w:kern w:val="0"/>
          <w:sz w:val="28"/>
          <w:szCs w:val="28"/>
          <w:lang w:val="en-US" w:eastAsia="zh-CN" w:bidi="ar-SA"/>
        </w:rPr>
        <w:t>报价情况</w:t>
      </w:r>
    </w:p>
    <w:tbl>
      <w:tblPr>
        <w:tblStyle w:val="10"/>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2850"/>
        <w:gridCol w:w="578"/>
        <w:gridCol w:w="656"/>
        <w:gridCol w:w="1160"/>
        <w:gridCol w:w="1115"/>
        <w:gridCol w:w="1113"/>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30" w:type="dxa"/>
            <w:vMerge w:val="restart"/>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序</w:t>
            </w:r>
          </w:p>
        </w:tc>
        <w:tc>
          <w:tcPr>
            <w:tcW w:w="2850" w:type="dxa"/>
            <w:vMerge w:val="restart"/>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项目名称</w:t>
            </w:r>
          </w:p>
        </w:tc>
        <w:tc>
          <w:tcPr>
            <w:tcW w:w="578" w:type="dxa"/>
            <w:vMerge w:val="restart"/>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单位</w:t>
            </w:r>
          </w:p>
        </w:tc>
        <w:tc>
          <w:tcPr>
            <w:tcW w:w="656" w:type="dxa"/>
            <w:vMerge w:val="restart"/>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数量</w:t>
            </w:r>
          </w:p>
        </w:tc>
        <w:tc>
          <w:tcPr>
            <w:tcW w:w="2275" w:type="dxa"/>
            <w:gridSpan w:val="2"/>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市场价</w:t>
            </w:r>
          </w:p>
        </w:tc>
        <w:tc>
          <w:tcPr>
            <w:tcW w:w="2181" w:type="dxa"/>
            <w:gridSpan w:val="2"/>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优惠价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630" w:type="dxa"/>
            <w:vMerge w:val="continue"/>
            <w:noWrap w:val="0"/>
            <w:vAlign w:val="center"/>
          </w:tcPr>
          <w:p>
            <w:pPr>
              <w:pStyle w:val="2"/>
              <w:jc w:val="center"/>
              <w:rPr>
                <w:rFonts w:hint="eastAsia" w:eastAsia="宋体"/>
                <w:b/>
                <w:bCs/>
                <w:color w:val="auto"/>
                <w:sz w:val="24"/>
                <w:szCs w:val="24"/>
                <w:vertAlign w:val="baseline"/>
                <w:lang w:val="en-US" w:eastAsia="zh-CN"/>
              </w:rPr>
            </w:pPr>
          </w:p>
        </w:tc>
        <w:tc>
          <w:tcPr>
            <w:tcW w:w="2850" w:type="dxa"/>
            <w:vMerge w:val="continue"/>
            <w:noWrap w:val="0"/>
            <w:vAlign w:val="center"/>
          </w:tcPr>
          <w:p>
            <w:pPr>
              <w:pStyle w:val="2"/>
              <w:jc w:val="center"/>
              <w:rPr>
                <w:rFonts w:hint="eastAsia" w:eastAsia="宋体"/>
                <w:b/>
                <w:bCs/>
                <w:color w:val="auto"/>
                <w:sz w:val="24"/>
                <w:szCs w:val="24"/>
                <w:vertAlign w:val="baseline"/>
                <w:lang w:val="en-US" w:eastAsia="zh-CN"/>
              </w:rPr>
            </w:pPr>
          </w:p>
        </w:tc>
        <w:tc>
          <w:tcPr>
            <w:tcW w:w="578" w:type="dxa"/>
            <w:vMerge w:val="continue"/>
            <w:noWrap w:val="0"/>
            <w:vAlign w:val="center"/>
          </w:tcPr>
          <w:p>
            <w:pPr>
              <w:pStyle w:val="2"/>
              <w:jc w:val="center"/>
              <w:rPr>
                <w:rFonts w:hint="eastAsia" w:eastAsia="宋体"/>
                <w:b/>
                <w:bCs/>
                <w:color w:val="auto"/>
                <w:sz w:val="24"/>
                <w:szCs w:val="24"/>
                <w:vertAlign w:val="baseline"/>
                <w:lang w:val="en-US" w:eastAsia="zh-CN"/>
              </w:rPr>
            </w:pPr>
          </w:p>
        </w:tc>
        <w:tc>
          <w:tcPr>
            <w:tcW w:w="656" w:type="dxa"/>
            <w:vMerge w:val="continue"/>
            <w:noWrap w:val="0"/>
            <w:vAlign w:val="center"/>
          </w:tcPr>
          <w:p>
            <w:pPr>
              <w:pStyle w:val="2"/>
              <w:jc w:val="center"/>
              <w:rPr>
                <w:rFonts w:hint="eastAsia" w:eastAsia="宋体"/>
                <w:b/>
                <w:bCs/>
                <w:color w:val="auto"/>
                <w:sz w:val="24"/>
                <w:szCs w:val="24"/>
                <w:vertAlign w:val="baseline"/>
                <w:lang w:val="en-US" w:eastAsia="zh-CN"/>
              </w:rPr>
            </w:pPr>
          </w:p>
        </w:tc>
        <w:tc>
          <w:tcPr>
            <w:tcW w:w="1160"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bCs/>
                <w:color w:val="auto"/>
                <w:sz w:val="24"/>
                <w:szCs w:val="24"/>
                <w:vertAlign w:val="baseline"/>
                <w:lang w:val="en-US" w:eastAsia="zh-CN"/>
              </w:rPr>
            </w:pPr>
            <w:r>
              <w:rPr>
                <w:rFonts w:hint="eastAsia"/>
                <w:b/>
                <w:bCs/>
                <w:color w:val="auto"/>
                <w:sz w:val="24"/>
                <w:szCs w:val="24"/>
                <w:vertAlign w:val="baseline"/>
                <w:lang w:val="en-US" w:eastAsia="zh-CN"/>
              </w:rPr>
              <w:t>单价</w:t>
            </w:r>
          </w:p>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（万元）</w:t>
            </w:r>
          </w:p>
        </w:tc>
        <w:tc>
          <w:tcPr>
            <w:tcW w:w="111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bCs/>
                <w:color w:val="auto"/>
                <w:sz w:val="24"/>
                <w:szCs w:val="24"/>
                <w:vertAlign w:val="baseline"/>
                <w:lang w:val="en-US" w:eastAsia="zh-CN"/>
              </w:rPr>
            </w:pPr>
            <w:r>
              <w:rPr>
                <w:rFonts w:hint="eastAsia"/>
                <w:b/>
                <w:bCs/>
                <w:color w:val="auto"/>
                <w:sz w:val="24"/>
                <w:szCs w:val="24"/>
                <w:vertAlign w:val="baseline"/>
                <w:lang w:val="en-US" w:eastAsia="zh-CN"/>
              </w:rPr>
              <w:t>总价</w:t>
            </w:r>
          </w:p>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（万元）</w:t>
            </w:r>
          </w:p>
        </w:tc>
        <w:tc>
          <w:tcPr>
            <w:tcW w:w="1113"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bCs/>
                <w:color w:val="auto"/>
                <w:sz w:val="24"/>
                <w:szCs w:val="24"/>
                <w:vertAlign w:val="baseline"/>
                <w:lang w:val="en-US" w:eastAsia="zh-CN"/>
              </w:rPr>
            </w:pPr>
            <w:r>
              <w:rPr>
                <w:rFonts w:hint="eastAsia"/>
                <w:b/>
                <w:bCs/>
                <w:color w:val="auto"/>
                <w:sz w:val="24"/>
                <w:szCs w:val="24"/>
                <w:vertAlign w:val="baseline"/>
                <w:lang w:val="en-US" w:eastAsia="zh-CN"/>
              </w:rPr>
              <w:t>单价</w:t>
            </w:r>
          </w:p>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（万元）</w:t>
            </w:r>
          </w:p>
        </w:tc>
        <w:tc>
          <w:tcPr>
            <w:tcW w:w="1068"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bCs/>
                <w:color w:val="auto"/>
                <w:sz w:val="24"/>
                <w:szCs w:val="24"/>
                <w:vertAlign w:val="baseline"/>
                <w:lang w:val="en-US" w:eastAsia="zh-CN"/>
              </w:rPr>
            </w:pPr>
            <w:r>
              <w:rPr>
                <w:rFonts w:hint="eastAsia"/>
                <w:b/>
                <w:bCs/>
                <w:color w:val="auto"/>
                <w:sz w:val="24"/>
                <w:szCs w:val="24"/>
                <w:vertAlign w:val="baseline"/>
                <w:lang w:val="en-US" w:eastAsia="zh-CN"/>
              </w:rPr>
              <w:t>总价</w:t>
            </w:r>
          </w:p>
          <w:p>
            <w:pPr>
              <w:pStyle w:val="2"/>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630" w:type="dxa"/>
            <w:noWrap w:val="0"/>
            <w:vAlign w:val="center"/>
          </w:tcPr>
          <w:p>
            <w:pPr>
              <w:pStyle w:val="2"/>
              <w:jc w:val="center"/>
              <w:rPr>
                <w:rFonts w:hint="default" w:eastAsia="宋体"/>
                <w:b w:val="0"/>
                <w:bCs w:val="0"/>
                <w:color w:val="auto"/>
                <w:sz w:val="24"/>
                <w:szCs w:val="24"/>
                <w:vertAlign w:val="baseline"/>
                <w:lang w:val="en-US" w:eastAsia="zh-CN"/>
              </w:rPr>
            </w:pPr>
            <w:r>
              <w:rPr>
                <w:rFonts w:hint="eastAsia"/>
                <w:b w:val="0"/>
                <w:bCs w:val="0"/>
                <w:color w:val="auto"/>
                <w:sz w:val="24"/>
                <w:szCs w:val="24"/>
                <w:vertAlign w:val="baseline"/>
                <w:lang w:val="en-US" w:eastAsia="zh-CN"/>
              </w:rPr>
              <w:t>1</w:t>
            </w:r>
          </w:p>
        </w:tc>
        <w:tc>
          <w:tcPr>
            <w:tcW w:w="2850" w:type="dxa"/>
            <w:noWrap w:val="0"/>
            <w:vAlign w:val="center"/>
          </w:tcPr>
          <w:p>
            <w:pPr>
              <w:bidi w:val="0"/>
              <w:spacing w:line="240" w:lineRule="auto"/>
              <w:rPr>
                <w:rFonts w:hint="eastAsia" w:eastAsia="宋体"/>
                <w:b w:val="0"/>
                <w:bCs w:val="0"/>
                <w:color w:val="auto"/>
                <w:szCs w:val="24"/>
                <w:vertAlign w:val="baseline"/>
                <w:lang w:val="en-US" w:eastAsia="zh-CN"/>
              </w:rPr>
            </w:pPr>
            <w:r>
              <w:rPr>
                <w:rFonts w:hint="eastAsia" w:ascii="仿宋_GB2312" w:hAnsi="仿宋_GB2312" w:eastAsia="仿宋_GB2312" w:cs="仿宋_GB2312"/>
                <w:sz w:val="28"/>
                <w:szCs w:val="28"/>
                <w:lang w:val="en-GB" w:eastAsia="zh-CN"/>
              </w:rPr>
              <w:t>阳春市妇幼保健院银医通（二期）</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lang w:val="en-US" w:eastAsia="zh-CN"/>
              </w:rPr>
              <w:t xml:space="preserve"> </w:t>
            </w:r>
          </w:p>
        </w:tc>
        <w:tc>
          <w:tcPr>
            <w:tcW w:w="578" w:type="dxa"/>
            <w:noWrap w:val="0"/>
            <w:vAlign w:val="center"/>
          </w:tcPr>
          <w:p>
            <w:pPr>
              <w:pStyle w:val="2"/>
              <w:jc w:val="center"/>
              <w:rPr>
                <w:rFonts w:hint="default" w:eastAsia="宋体"/>
                <w:b w:val="0"/>
                <w:bCs w:val="0"/>
                <w:color w:val="auto"/>
                <w:sz w:val="24"/>
                <w:szCs w:val="24"/>
                <w:vertAlign w:val="baseline"/>
                <w:lang w:val="en-US" w:eastAsia="zh-CN"/>
              </w:rPr>
            </w:pPr>
            <w:r>
              <w:rPr>
                <w:rFonts w:hint="eastAsia"/>
                <w:b w:val="0"/>
                <w:bCs w:val="0"/>
                <w:color w:val="auto"/>
                <w:sz w:val="24"/>
                <w:szCs w:val="24"/>
                <w:vertAlign w:val="baseline"/>
                <w:lang w:val="en-US" w:eastAsia="zh-CN"/>
              </w:rPr>
              <w:t>项</w:t>
            </w:r>
          </w:p>
        </w:tc>
        <w:tc>
          <w:tcPr>
            <w:tcW w:w="656" w:type="dxa"/>
            <w:noWrap w:val="0"/>
            <w:vAlign w:val="center"/>
          </w:tcPr>
          <w:p>
            <w:pPr>
              <w:pStyle w:val="2"/>
              <w:jc w:val="center"/>
              <w:rPr>
                <w:rFonts w:hint="default" w:eastAsia="宋体"/>
                <w:b w:val="0"/>
                <w:bCs w:val="0"/>
                <w:color w:val="auto"/>
                <w:sz w:val="24"/>
                <w:szCs w:val="24"/>
                <w:vertAlign w:val="baseline"/>
                <w:lang w:val="en-US" w:eastAsia="zh-CN"/>
              </w:rPr>
            </w:pPr>
            <w:r>
              <w:rPr>
                <w:rFonts w:hint="eastAsia"/>
                <w:b w:val="0"/>
                <w:bCs w:val="0"/>
                <w:color w:val="auto"/>
                <w:sz w:val="24"/>
                <w:szCs w:val="24"/>
                <w:vertAlign w:val="baseline"/>
                <w:lang w:val="en-US" w:eastAsia="zh-CN"/>
              </w:rPr>
              <w:t>1</w:t>
            </w:r>
          </w:p>
        </w:tc>
        <w:tc>
          <w:tcPr>
            <w:tcW w:w="1160" w:type="dxa"/>
            <w:noWrap w:val="0"/>
            <w:vAlign w:val="center"/>
          </w:tcPr>
          <w:p>
            <w:pPr>
              <w:pStyle w:val="2"/>
              <w:jc w:val="center"/>
              <w:rPr>
                <w:rFonts w:hint="eastAsia" w:eastAsia="宋体"/>
                <w:color w:val="auto"/>
                <w:sz w:val="24"/>
                <w:szCs w:val="24"/>
                <w:vertAlign w:val="baseline"/>
                <w:lang w:val="en-US" w:eastAsia="zh-CN"/>
              </w:rPr>
            </w:pPr>
          </w:p>
        </w:tc>
        <w:tc>
          <w:tcPr>
            <w:tcW w:w="1115" w:type="dxa"/>
            <w:noWrap w:val="0"/>
            <w:vAlign w:val="center"/>
          </w:tcPr>
          <w:p>
            <w:pPr>
              <w:pStyle w:val="2"/>
              <w:jc w:val="center"/>
              <w:rPr>
                <w:rFonts w:hint="eastAsia" w:eastAsia="宋体"/>
                <w:color w:val="auto"/>
                <w:sz w:val="24"/>
                <w:szCs w:val="24"/>
                <w:vertAlign w:val="baseline"/>
                <w:lang w:val="en-US" w:eastAsia="zh-CN"/>
              </w:rPr>
            </w:pPr>
          </w:p>
        </w:tc>
        <w:tc>
          <w:tcPr>
            <w:tcW w:w="1113" w:type="dxa"/>
            <w:noWrap w:val="0"/>
            <w:vAlign w:val="center"/>
          </w:tcPr>
          <w:p>
            <w:pPr>
              <w:pStyle w:val="2"/>
              <w:jc w:val="center"/>
              <w:rPr>
                <w:rFonts w:hint="eastAsia" w:eastAsia="宋体"/>
                <w:color w:val="auto"/>
                <w:sz w:val="24"/>
                <w:szCs w:val="24"/>
                <w:vertAlign w:val="baseline"/>
                <w:lang w:val="en-US" w:eastAsia="zh-CN"/>
              </w:rPr>
            </w:pPr>
          </w:p>
        </w:tc>
        <w:tc>
          <w:tcPr>
            <w:tcW w:w="1068" w:type="dxa"/>
            <w:noWrap w:val="0"/>
            <w:vAlign w:val="center"/>
          </w:tcPr>
          <w:p>
            <w:pPr>
              <w:pStyle w:val="2"/>
              <w:jc w:val="center"/>
              <w:rPr>
                <w:rFonts w:hint="eastAsia" w:eastAsia="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630" w:type="dxa"/>
            <w:noWrap w:val="0"/>
            <w:vAlign w:val="center"/>
          </w:tcPr>
          <w:p>
            <w:pPr>
              <w:pStyle w:val="2"/>
              <w:jc w:val="center"/>
              <w:rPr>
                <w:rFonts w:hint="default" w:eastAsia="宋体"/>
                <w:b/>
                <w:bCs/>
                <w:color w:val="auto"/>
                <w:sz w:val="24"/>
                <w:szCs w:val="24"/>
                <w:vertAlign w:val="baseline"/>
                <w:lang w:val="en-US" w:eastAsia="zh-CN"/>
              </w:rPr>
            </w:pPr>
            <w:r>
              <w:rPr>
                <w:rFonts w:hint="eastAsia"/>
                <w:b/>
                <w:bCs/>
                <w:color w:val="auto"/>
                <w:sz w:val="24"/>
                <w:szCs w:val="24"/>
                <w:vertAlign w:val="baseline"/>
                <w:lang w:val="en-US" w:eastAsia="zh-CN"/>
              </w:rPr>
              <w:t>2</w:t>
            </w:r>
          </w:p>
        </w:tc>
        <w:tc>
          <w:tcPr>
            <w:tcW w:w="2850" w:type="dxa"/>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合计</w:t>
            </w:r>
          </w:p>
        </w:tc>
        <w:tc>
          <w:tcPr>
            <w:tcW w:w="578" w:type="dxa"/>
            <w:noWrap w:val="0"/>
            <w:vAlign w:val="center"/>
          </w:tcPr>
          <w:p>
            <w:pPr>
              <w:pStyle w:val="2"/>
              <w:jc w:val="center"/>
              <w:rPr>
                <w:rFonts w:hint="eastAsia" w:eastAsia="宋体"/>
                <w:color w:val="auto"/>
                <w:sz w:val="24"/>
                <w:szCs w:val="24"/>
                <w:vertAlign w:val="baseline"/>
                <w:lang w:val="en-US" w:eastAsia="zh-CN"/>
              </w:rPr>
            </w:pPr>
            <w:r>
              <w:rPr>
                <w:rFonts w:hint="eastAsia"/>
                <w:color w:val="auto"/>
                <w:sz w:val="24"/>
                <w:szCs w:val="24"/>
                <w:vertAlign w:val="baseline"/>
                <w:lang w:val="en-US" w:eastAsia="zh-CN"/>
              </w:rPr>
              <w:t>—</w:t>
            </w:r>
          </w:p>
        </w:tc>
        <w:tc>
          <w:tcPr>
            <w:tcW w:w="656" w:type="dxa"/>
            <w:noWrap w:val="0"/>
            <w:vAlign w:val="center"/>
          </w:tcPr>
          <w:p>
            <w:pPr>
              <w:pStyle w:val="2"/>
              <w:jc w:val="center"/>
              <w:rPr>
                <w:rFonts w:hint="eastAsia" w:eastAsia="宋体"/>
                <w:color w:val="auto"/>
                <w:sz w:val="24"/>
                <w:szCs w:val="24"/>
                <w:vertAlign w:val="baseline"/>
                <w:lang w:val="en-US" w:eastAsia="zh-CN"/>
              </w:rPr>
            </w:pPr>
            <w:r>
              <w:rPr>
                <w:rFonts w:hint="eastAsia"/>
                <w:color w:val="auto"/>
                <w:sz w:val="24"/>
                <w:szCs w:val="24"/>
                <w:vertAlign w:val="baseline"/>
                <w:lang w:val="en-US" w:eastAsia="zh-CN"/>
              </w:rPr>
              <w:t>—</w:t>
            </w:r>
          </w:p>
        </w:tc>
        <w:tc>
          <w:tcPr>
            <w:tcW w:w="1160" w:type="dxa"/>
            <w:noWrap w:val="0"/>
            <w:vAlign w:val="center"/>
          </w:tcPr>
          <w:p>
            <w:pPr>
              <w:pStyle w:val="2"/>
              <w:jc w:val="center"/>
              <w:rPr>
                <w:rFonts w:hint="eastAsia" w:eastAsia="宋体"/>
                <w:color w:val="auto"/>
                <w:sz w:val="24"/>
                <w:szCs w:val="24"/>
                <w:vertAlign w:val="baseline"/>
                <w:lang w:val="en-US" w:eastAsia="zh-CN"/>
              </w:rPr>
            </w:pPr>
          </w:p>
        </w:tc>
        <w:tc>
          <w:tcPr>
            <w:tcW w:w="1115" w:type="dxa"/>
            <w:noWrap w:val="0"/>
            <w:vAlign w:val="center"/>
          </w:tcPr>
          <w:p>
            <w:pPr>
              <w:pStyle w:val="2"/>
              <w:jc w:val="center"/>
              <w:rPr>
                <w:rFonts w:hint="eastAsia" w:eastAsia="宋体"/>
                <w:color w:val="auto"/>
                <w:sz w:val="24"/>
                <w:szCs w:val="24"/>
                <w:vertAlign w:val="baseline"/>
                <w:lang w:val="en-US" w:eastAsia="zh-CN"/>
              </w:rPr>
            </w:pPr>
          </w:p>
        </w:tc>
        <w:tc>
          <w:tcPr>
            <w:tcW w:w="1113" w:type="dxa"/>
            <w:noWrap w:val="0"/>
            <w:vAlign w:val="center"/>
          </w:tcPr>
          <w:p>
            <w:pPr>
              <w:pStyle w:val="2"/>
              <w:jc w:val="center"/>
              <w:rPr>
                <w:rFonts w:hint="eastAsia" w:eastAsia="宋体"/>
                <w:color w:val="auto"/>
                <w:sz w:val="24"/>
                <w:szCs w:val="24"/>
                <w:vertAlign w:val="baseline"/>
                <w:lang w:val="en-US" w:eastAsia="zh-CN"/>
              </w:rPr>
            </w:pPr>
          </w:p>
        </w:tc>
        <w:tc>
          <w:tcPr>
            <w:tcW w:w="1068" w:type="dxa"/>
            <w:noWrap w:val="0"/>
            <w:vAlign w:val="center"/>
          </w:tcPr>
          <w:p>
            <w:pPr>
              <w:pStyle w:val="2"/>
              <w:jc w:val="center"/>
              <w:rPr>
                <w:rFonts w:hint="eastAsia" w:eastAsia="宋体"/>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3480" w:type="dxa"/>
            <w:gridSpan w:val="2"/>
            <w:noWrap w:val="0"/>
            <w:vAlign w:val="center"/>
          </w:tcPr>
          <w:p>
            <w:pPr>
              <w:pStyle w:val="2"/>
              <w:jc w:val="center"/>
              <w:rPr>
                <w:rFonts w:hint="eastAsia" w:eastAsia="宋体"/>
                <w:b/>
                <w:bCs/>
                <w:color w:val="auto"/>
                <w:sz w:val="24"/>
                <w:szCs w:val="24"/>
                <w:vertAlign w:val="baseline"/>
                <w:lang w:val="en-US" w:eastAsia="zh-CN"/>
              </w:rPr>
            </w:pPr>
            <w:r>
              <w:rPr>
                <w:rFonts w:hint="eastAsia"/>
                <w:b/>
                <w:bCs/>
                <w:color w:val="auto"/>
                <w:sz w:val="24"/>
                <w:szCs w:val="24"/>
                <w:vertAlign w:val="baseline"/>
                <w:lang w:val="en-US" w:eastAsia="zh-CN"/>
              </w:rPr>
              <w:t>优惠价总价（含税）大写：</w:t>
            </w:r>
          </w:p>
        </w:tc>
        <w:tc>
          <w:tcPr>
            <w:tcW w:w="5690" w:type="dxa"/>
            <w:gridSpan w:val="6"/>
            <w:noWrap w:val="0"/>
            <w:vAlign w:val="center"/>
          </w:tcPr>
          <w:p>
            <w:pPr>
              <w:pStyle w:val="2"/>
              <w:jc w:val="center"/>
              <w:rPr>
                <w:rFonts w:hint="eastAsia" w:eastAsia="宋体"/>
                <w:color w:val="auto"/>
                <w:sz w:val="24"/>
                <w:szCs w:val="24"/>
                <w:vertAlign w:val="baseline"/>
                <w:lang w:val="en-US" w:eastAsia="zh-CN"/>
              </w:rPr>
            </w:pPr>
          </w:p>
        </w:tc>
      </w:tr>
    </w:tbl>
    <w:p>
      <w:pPr>
        <w:pStyle w:val="2"/>
        <w:rPr>
          <w:rFonts w:hint="default" w:eastAsia="宋体"/>
          <w:color w:val="FF0000"/>
          <w:sz w:val="28"/>
          <w:szCs w:val="28"/>
          <w:lang w:val="en-US" w:eastAsia="zh-CN"/>
        </w:rPr>
      </w:pPr>
      <w:r>
        <w:rPr>
          <w:rFonts w:hint="eastAsia"/>
          <w:color w:val="FF0000"/>
          <w:sz w:val="28"/>
          <w:szCs w:val="28"/>
          <w:lang w:val="en-US" w:eastAsia="zh-CN"/>
        </w:rPr>
        <w:t>附：公司营业执照及相关资质复印件（盖红章）2份。</w:t>
      </w:r>
    </w:p>
    <w:p>
      <w:pPr>
        <w:pStyle w:val="2"/>
        <w:rPr>
          <w:rFonts w:hint="eastAsia"/>
          <w:b/>
          <w:bCs/>
          <w:color w:val="auto"/>
          <w:sz w:val="24"/>
          <w:szCs w:val="24"/>
          <w:vertAlign w:val="baseline"/>
          <w:lang w:val="en-US" w:eastAsia="zh-CN"/>
        </w:rPr>
      </w:pPr>
    </w:p>
    <w:p>
      <w:pPr>
        <w:pStyle w:val="2"/>
        <w:rPr>
          <w:rFonts w:hint="eastAsia"/>
          <w:b/>
          <w:bCs/>
          <w:color w:val="auto"/>
          <w:sz w:val="24"/>
          <w:szCs w:val="24"/>
          <w:vertAlign w:val="baseline"/>
          <w:lang w:val="en-US" w:eastAsia="zh-CN"/>
        </w:rPr>
      </w:pPr>
    </w:p>
    <w:p>
      <w:pPr>
        <w:pStyle w:val="2"/>
        <w:rPr>
          <w:rFonts w:hint="eastAsia"/>
          <w:b/>
          <w:bCs/>
          <w:color w:val="auto"/>
          <w:sz w:val="24"/>
          <w:szCs w:val="24"/>
          <w:vertAlign w:val="baseline"/>
          <w:lang w:val="en-US" w:eastAsia="zh-CN"/>
        </w:rPr>
      </w:pPr>
    </w:p>
    <w:p>
      <w:pPr>
        <w:pStyle w:val="2"/>
        <w:ind w:firstLine="482" w:firstLineChars="200"/>
        <w:rPr>
          <w:rFonts w:hint="eastAsia" w:eastAsia="宋体"/>
          <w:color w:val="auto"/>
          <w:lang w:val="en-US" w:eastAsia="zh-CN"/>
        </w:rPr>
      </w:pPr>
      <w:r>
        <w:rPr>
          <w:rFonts w:hint="eastAsia"/>
          <w:b/>
          <w:bCs/>
          <w:color w:val="auto"/>
          <w:sz w:val="24"/>
          <w:szCs w:val="24"/>
          <w:vertAlign w:val="baseline"/>
          <w:lang w:val="en-US" w:eastAsia="zh-CN"/>
        </w:rPr>
        <w:t>报价公司名称（盖章）：</w:t>
      </w:r>
    </w:p>
    <w:p>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OWIyZWI2NjQ2YmQ2Mzg0NWM5YjY4NWI0YTMxZmQifQ=="/>
  </w:docVars>
  <w:rsids>
    <w:rsidRoot w:val="004B2E7D"/>
    <w:rsid w:val="00163AC0"/>
    <w:rsid w:val="001D393F"/>
    <w:rsid w:val="00483071"/>
    <w:rsid w:val="004B2E7D"/>
    <w:rsid w:val="004B4E39"/>
    <w:rsid w:val="00536BE3"/>
    <w:rsid w:val="00560249"/>
    <w:rsid w:val="005973C1"/>
    <w:rsid w:val="008B5D03"/>
    <w:rsid w:val="00990CAE"/>
    <w:rsid w:val="009C0D18"/>
    <w:rsid w:val="009F7154"/>
    <w:rsid w:val="00A27EF2"/>
    <w:rsid w:val="00A31400"/>
    <w:rsid w:val="00D40DE8"/>
    <w:rsid w:val="00EF3040"/>
    <w:rsid w:val="1E3E5127"/>
    <w:rsid w:val="27B92902"/>
    <w:rsid w:val="2D7824C2"/>
    <w:rsid w:val="31467A36"/>
    <w:rsid w:val="31ED4F93"/>
    <w:rsid w:val="48FF75D2"/>
    <w:rsid w:val="499A379E"/>
    <w:rsid w:val="546040AA"/>
    <w:rsid w:val="5A981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14"/>
    <w:qFormat/>
    <w:uiPriority w:val="0"/>
    <w:pPr>
      <w:pageBreakBefore/>
      <w:spacing w:line="240" w:lineRule="auto"/>
      <w:jc w:val="center"/>
      <w:outlineLvl w:val="0"/>
    </w:pPr>
    <w:rPr>
      <w:rFonts w:eastAsia="黑体"/>
      <w:b/>
      <w:sz w:val="36"/>
      <w:szCs w:val="22"/>
    </w:rPr>
  </w:style>
  <w:style w:type="paragraph" w:styleId="4">
    <w:name w:val="heading 2"/>
    <w:basedOn w:val="1"/>
    <w:next w:val="1"/>
    <w:link w:val="15"/>
    <w:unhideWhenUsed/>
    <w:qFormat/>
    <w:uiPriority w:val="0"/>
    <w:pPr>
      <w:keepNext/>
      <w:keepLines/>
      <w:pageBreakBefore/>
      <w:spacing w:before="260" w:after="260" w:line="240" w:lineRule="auto"/>
      <w:jc w:val="left"/>
      <w:outlineLvl w:val="1"/>
    </w:pPr>
    <w:rPr>
      <w:rFonts w:asciiTheme="majorHAnsi" w:hAnsiTheme="majorHAnsi" w:eastAsiaTheme="majorEastAsia" w:cstheme="majorBidi"/>
      <w:b/>
      <w:bCs/>
      <w:sz w:val="32"/>
      <w:szCs w:val="32"/>
    </w:rPr>
  </w:style>
  <w:style w:type="paragraph" w:styleId="5">
    <w:name w:val="heading 3"/>
    <w:basedOn w:val="1"/>
    <w:next w:val="1"/>
    <w:link w:val="16"/>
    <w:unhideWhenUsed/>
    <w:qFormat/>
    <w:uiPriority w:val="0"/>
    <w:pPr>
      <w:keepNext/>
      <w:keepLines/>
      <w:spacing w:before="260" w:after="260" w:line="240" w:lineRule="auto"/>
      <w:jc w:val="left"/>
      <w:outlineLvl w:val="2"/>
    </w:pPr>
    <w:rPr>
      <w:rFonts w:ascii="Calibri" w:hAnsi="Calibri"/>
      <w:bCs/>
      <w:sz w:val="32"/>
      <w:szCs w:val="32"/>
    </w:rPr>
  </w:style>
  <w:style w:type="paragraph" w:styleId="6">
    <w:name w:val="heading 4"/>
    <w:basedOn w:val="1"/>
    <w:next w:val="1"/>
    <w:qFormat/>
    <w:uiPriority w:val="0"/>
    <w:pPr>
      <w:keepNext/>
      <w:keepLines/>
      <w:spacing w:before="280" w:after="290" w:line="374" w:lineRule="auto"/>
      <w:outlineLvl w:val="3"/>
    </w:pPr>
    <w:rPr>
      <w:rFonts w:ascii="Courier New" w:hAnsi="Courier New" w:eastAsia="微软雅黑" w:cs="Times New Roman"/>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style>
  <w:style w:type="paragraph" w:styleId="7">
    <w:name w:val="footer"/>
    <w:basedOn w:val="1"/>
    <w:link w:val="13"/>
    <w:semiHidden/>
    <w:unhideWhenUsed/>
    <w:qFormat/>
    <w:uiPriority w:val="99"/>
    <w:pPr>
      <w:tabs>
        <w:tab w:val="center" w:pos="4153"/>
        <w:tab w:val="right" w:pos="8306"/>
      </w:tabs>
      <w:snapToGrid w:val="0"/>
      <w:jc w:val="left"/>
    </w:pPr>
    <w:rPr>
      <w:sz w:val="18"/>
      <w:szCs w:val="18"/>
    </w:rPr>
  </w:style>
  <w:style w:type="paragraph" w:styleId="8">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Char"/>
    <w:basedOn w:val="11"/>
    <w:link w:val="8"/>
    <w:semiHidden/>
    <w:qFormat/>
    <w:uiPriority w:val="99"/>
    <w:rPr>
      <w:sz w:val="18"/>
      <w:szCs w:val="18"/>
    </w:rPr>
  </w:style>
  <w:style w:type="character" w:customStyle="1" w:styleId="13">
    <w:name w:val="页脚 Char"/>
    <w:basedOn w:val="11"/>
    <w:link w:val="7"/>
    <w:semiHidden/>
    <w:qFormat/>
    <w:uiPriority w:val="99"/>
    <w:rPr>
      <w:sz w:val="18"/>
      <w:szCs w:val="18"/>
    </w:rPr>
  </w:style>
  <w:style w:type="character" w:customStyle="1" w:styleId="14">
    <w:name w:val="标题 1 Char"/>
    <w:basedOn w:val="11"/>
    <w:link w:val="3"/>
    <w:qFormat/>
    <w:uiPriority w:val="0"/>
    <w:rPr>
      <w:rFonts w:ascii="Times New Roman" w:hAnsi="Times New Roman" w:eastAsia="黑体" w:cs="Times New Roman"/>
      <w:b/>
      <w:sz w:val="36"/>
    </w:rPr>
  </w:style>
  <w:style w:type="character" w:customStyle="1" w:styleId="15">
    <w:name w:val="标题 2 Char"/>
    <w:basedOn w:val="11"/>
    <w:link w:val="4"/>
    <w:qFormat/>
    <w:uiPriority w:val="0"/>
    <w:rPr>
      <w:rFonts w:asciiTheme="majorHAnsi" w:hAnsiTheme="majorHAnsi" w:eastAsiaTheme="majorEastAsia" w:cstheme="majorBidi"/>
      <w:b/>
      <w:bCs/>
      <w:sz w:val="32"/>
      <w:szCs w:val="32"/>
    </w:rPr>
  </w:style>
  <w:style w:type="character" w:customStyle="1" w:styleId="16">
    <w:name w:val="标题 3 Char"/>
    <w:basedOn w:val="11"/>
    <w:link w:val="5"/>
    <w:qFormat/>
    <w:uiPriority w:val="0"/>
    <w:rPr>
      <w:rFonts w:ascii="Calibri" w:hAnsi="Calibri" w:eastAsia="宋体" w:cs="Times New Roman"/>
      <w:bCs/>
      <w:sz w:val="32"/>
      <w:szCs w:val="32"/>
    </w:rPr>
  </w:style>
  <w:style w:type="character" w:customStyle="1" w:styleId="17">
    <w:name w:val="正文文本 Char"/>
    <w:basedOn w:val="11"/>
    <w:link w:val="2"/>
    <w:qFormat/>
    <w:uiPriority w:val="0"/>
    <w:rPr>
      <w:rFonts w:ascii="Times New Roman" w:hAnsi="Times New Roman" w:eastAsia="宋体" w:cs="Times New Roman"/>
      <w:sz w:val="24"/>
      <w:szCs w:val="24"/>
    </w:rPr>
  </w:style>
  <w:style w:type="paragraph" w:customStyle="1" w:styleId="18">
    <w:name w:val="立项封面标题"/>
    <w:basedOn w:val="1"/>
    <w:qFormat/>
    <w:uiPriority w:val="0"/>
    <w:pPr>
      <w:widowControl/>
      <w:spacing w:line="480" w:lineRule="auto"/>
      <w:ind w:firstLine="0" w:firstLineChars="0"/>
      <w:jc w:val="center"/>
    </w:pPr>
    <w:rPr>
      <w:rFonts w:cs="Times New Roman"/>
      <w:b/>
      <w:kern w:val="0"/>
      <w:sz w:val="44"/>
      <w:szCs w:val="24"/>
      <w:lang w:val="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2510</Words>
  <Characters>2618</Characters>
  <Lines>18</Lines>
  <Paragraphs>5</Paragraphs>
  <TotalTime>7</TotalTime>
  <ScaleCrop>false</ScaleCrop>
  <LinksUpToDate>false</LinksUpToDate>
  <CharactersWithSpaces>2635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2023-06-02T06:28:00Z</dcterms:created>
  <dc:creator>ddsd</dc:creator>
  <cp:lastModifiedBy>吴宏～源动力</cp:lastModifiedBy>
  <dcterms:modified xsi:type="dcterms:W3CDTF">2023-07-26T07:20:57Z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200F79C1A94D490AA0F192B80F270872_12</vt:lpwstr>
  </property>
</Properties>
</file>